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8D" w:rsidRDefault="0030658D" w:rsidP="0030658D">
      <w:pPr>
        <w:rPr>
          <w:sz w:val="24"/>
          <w:szCs w:val="24"/>
        </w:rPr>
      </w:pPr>
      <w:r w:rsidRPr="004C093A">
        <w:rPr>
          <w:sz w:val="24"/>
          <w:szCs w:val="24"/>
        </w:rPr>
        <w:t>Arkivsak-dok.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133 - 15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eastAsia="Times New Roman"/>
          <w:noProof/>
        </w:rPr>
        <w:drawing>
          <wp:inline distT="0" distB="0" distL="0" distR="0" wp14:anchorId="31EB0AED" wp14:editId="210EE497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8D" w:rsidRDefault="0030658D" w:rsidP="0030658D">
      <w:pPr>
        <w:rPr>
          <w:sz w:val="24"/>
          <w:szCs w:val="24"/>
        </w:rPr>
      </w:pPr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Ingunn O. Bjerkelo</w:t>
      </w:r>
    </w:p>
    <w:p w:rsidR="0030658D" w:rsidRDefault="0030658D" w:rsidP="0030658D">
      <w:pPr>
        <w:rPr>
          <w:sz w:val="24"/>
          <w:szCs w:val="24"/>
        </w:rPr>
      </w:pPr>
    </w:p>
    <w:p w:rsidR="0030658D" w:rsidRPr="004C093A" w:rsidRDefault="0030658D" w:rsidP="0030658D">
      <w:pPr>
        <w:rPr>
          <w:sz w:val="24"/>
          <w:szCs w:val="24"/>
        </w:rPr>
      </w:pPr>
      <w:r>
        <w:rPr>
          <w:sz w:val="24"/>
          <w:szCs w:val="24"/>
        </w:rPr>
        <w:t>Behandles av: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Møtedato:</w:t>
      </w:r>
      <w:r>
        <w:rPr>
          <w:sz w:val="24"/>
          <w:szCs w:val="24"/>
        </w:rPr>
        <w:tab/>
      </w:r>
    </w:p>
    <w:p w:rsidR="0030658D" w:rsidRDefault="0030658D" w:rsidP="0030658D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20.08.2015</w:t>
      </w:r>
    </w:p>
    <w:p w:rsidR="004E0F9A" w:rsidRDefault="004E0F9A">
      <w:pPr>
        <w:rPr>
          <w:sz w:val="24"/>
          <w:szCs w:val="24"/>
        </w:rPr>
      </w:pPr>
    </w:p>
    <w:p w:rsidR="00384ED1" w:rsidRPr="00384ED1" w:rsidRDefault="00384ED1" w:rsidP="00384ED1">
      <w:pPr>
        <w:spacing w:after="0" w:line="240" w:lineRule="auto"/>
        <w:rPr>
          <w:rFonts w:eastAsia="Cambria" w:cs="Times New Roman"/>
          <w:b/>
          <w:sz w:val="28"/>
          <w:szCs w:val="28"/>
          <w:lang w:eastAsia="en-US"/>
        </w:rPr>
      </w:pPr>
      <w:r w:rsidRPr="00384ED1">
        <w:rPr>
          <w:rFonts w:eastAsia="Cambria" w:cs="Times New Roman"/>
          <w:b/>
          <w:sz w:val="28"/>
          <w:szCs w:val="28"/>
          <w:lang w:eastAsia="en-US"/>
        </w:rPr>
        <w:t xml:space="preserve">Byggeprogram, K0, </w:t>
      </w:r>
      <w:r w:rsidR="007A460D">
        <w:rPr>
          <w:rFonts w:eastAsia="Cambria" w:cs="Times New Roman"/>
          <w:b/>
          <w:sz w:val="28"/>
          <w:szCs w:val="28"/>
          <w:lang w:eastAsia="en-US"/>
        </w:rPr>
        <w:t xml:space="preserve">for prosjekt 41011 nytt produksjonskjøkken Vatne </w:t>
      </w:r>
    </w:p>
    <w:p w:rsidR="007A460D" w:rsidRDefault="007A460D">
      <w:pPr>
        <w:rPr>
          <w:b/>
          <w:sz w:val="28"/>
          <w:szCs w:val="28"/>
          <w:u w:val="single"/>
        </w:rPr>
      </w:pPr>
    </w:p>
    <w:p w:rsidR="00B107B7" w:rsidRPr="00384ED1" w:rsidRDefault="00265A6A">
      <w:pPr>
        <w:rPr>
          <w:sz w:val="28"/>
          <w:szCs w:val="28"/>
        </w:rPr>
      </w:pPr>
      <w:r w:rsidRPr="00384ED1">
        <w:rPr>
          <w:b/>
          <w:sz w:val="28"/>
          <w:szCs w:val="28"/>
          <w:u w:val="single"/>
        </w:rPr>
        <w:t>Bakgrunn for saken:</w:t>
      </w:r>
    </w:p>
    <w:p w:rsidR="00186178" w:rsidRDefault="00186178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>I Bystyrets behandling av økonomiplan 2014-2017 ble det vedtatt å avsette 20 mill</w:t>
      </w:r>
      <w:r w:rsidR="00602579">
        <w:rPr>
          <w:rFonts w:eastAsia="Cambria" w:cs="Times New Roman"/>
          <w:sz w:val="24"/>
          <w:szCs w:val="24"/>
          <w:lang w:eastAsia="en-US"/>
        </w:rPr>
        <w:t>.</w:t>
      </w:r>
      <w:r>
        <w:rPr>
          <w:rFonts w:eastAsia="Cambria" w:cs="Times New Roman"/>
          <w:sz w:val="24"/>
          <w:szCs w:val="24"/>
          <w:lang w:eastAsia="en-US"/>
        </w:rPr>
        <w:t xml:space="preserve"> kr til nytt produksjonskjøkken til erstatning for nåværende produksjonskjøkken som er lokalisert i Åse BOAS. </w:t>
      </w:r>
      <w:r w:rsidR="00384ED1" w:rsidRPr="00384ED1">
        <w:rPr>
          <w:rFonts w:eastAsia="Cambria" w:cs="Times New Roman"/>
          <w:sz w:val="24"/>
          <w:szCs w:val="24"/>
          <w:lang w:eastAsia="en-US"/>
        </w:rPr>
        <w:t>I Bystyrets behandling av økonomiplan 2015-20118, ble d</w:t>
      </w:r>
      <w:r w:rsidR="00BB5C20">
        <w:rPr>
          <w:rFonts w:eastAsia="Cambria" w:cs="Times New Roman"/>
          <w:sz w:val="24"/>
          <w:szCs w:val="24"/>
          <w:lang w:eastAsia="en-US"/>
        </w:rPr>
        <w:t xml:space="preserve">et vedtatt å </w:t>
      </w:r>
      <w:r>
        <w:rPr>
          <w:rFonts w:eastAsia="Cambria" w:cs="Times New Roman"/>
          <w:sz w:val="24"/>
          <w:szCs w:val="24"/>
          <w:lang w:eastAsia="en-US"/>
        </w:rPr>
        <w:t xml:space="preserve">justere prosjektrammen til </w:t>
      </w:r>
      <w:r w:rsidR="006E5B6A">
        <w:rPr>
          <w:rFonts w:eastAsia="Cambria" w:cs="Times New Roman"/>
          <w:sz w:val="24"/>
          <w:szCs w:val="24"/>
          <w:lang w:eastAsia="en-US"/>
        </w:rPr>
        <w:t>41 m</w:t>
      </w:r>
      <w:r w:rsidR="00384ED1" w:rsidRPr="00384ED1">
        <w:rPr>
          <w:rFonts w:eastAsia="Cambria" w:cs="Times New Roman"/>
          <w:sz w:val="24"/>
          <w:szCs w:val="24"/>
          <w:lang w:eastAsia="en-US"/>
        </w:rPr>
        <w:t>ill</w:t>
      </w:r>
      <w:r w:rsidR="00602579">
        <w:rPr>
          <w:rFonts w:eastAsia="Cambria" w:cs="Times New Roman"/>
          <w:sz w:val="24"/>
          <w:szCs w:val="24"/>
          <w:lang w:eastAsia="en-US"/>
        </w:rPr>
        <w:t>.</w:t>
      </w:r>
      <w:r>
        <w:rPr>
          <w:rFonts w:eastAsia="Cambria" w:cs="Times New Roman"/>
          <w:sz w:val="24"/>
          <w:szCs w:val="24"/>
          <w:lang w:eastAsia="en-US"/>
        </w:rPr>
        <w:t xml:space="preserve"> kr</w:t>
      </w:r>
      <w:r w:rsidR="00152906">
        <w:rPr>
          <w:rFonts w:eastAsia="Cambria" w:cs="Times New Roman"/>
          <w:sz w:val="24"/>
          <w:szCs w:val="24"/>
          <w:lang w:eastAsia="en-US"/>
        </w:rPr>
        <w:t>.</w:t>
      </w:r>
      <w:r w:rsidR="00F0615B">
        <w:rPr>
          <w:rFonts w:eastAsia="Cambria" w:cs="Times New Roman"/>
          <w:sz w:val="24"/>
          <w:szCs w:val="24"/>
          <w:lang w:eastAsia="en-US"/>
        </w:rPr>
        <w:t xml:space="preserve"> Grovkalkyle på 41 mill</w:t>
      </w:r>
      <w:r w:rsidR="00602579">
        <w:rPr>
          <w:rFonts w:eastAsia="Cambria" w:cs="Times New Roman"/>
          <w:sz w:val="24"/>
          <w:szCs w:val="24"/>
          <w:lang w:eastAsia="en-US"/>
        </w:rPr>
        <w:t>.</w:t>
      </w:r>
      <w:r w:rsidR="00F0615B">
        <w:rPr>
          <w:rFonts w:eastAsia="Cambria" w:cs="Times New Roman"/>
          <w:sz w:val="24"/>
          <w:szCs w:val="24"/>
          <w:lang w:eastAsia="en-US"/>
        </w:rPr>
        <w:t xml:space="preserve"> kr er beregnet av Sandnes eiendomsselskap KF. I kalkylen ligger ikke inventar inne.</w:t>
      </w:r>
      <w:r w:rsidR="00C3044A">
        <w:rPr>
          <w:rFonts w:eastAsia="Cambria" w:cs="Times New Roman"/>
          <w:sz w:val="24"/>
          <w:szCs w:val="24"/>
          <w:lang w:eastAsia="en-US"/>
        </w:rPr>
        <w:t xml:space="preserve"> </w:t>
      </w:r>
    </w:p>
    <w:p w:rsidR="00C3044A" w:rsidRPr="00C3044A" w:rsidRDefault="00C3044A" w:rsidP="00C304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Ved å etablere nytt produksjonskjøkken på Vatne, fristilles lokaler i Åse boas for bruk til annet formål. </w:t>
      </w:r>
      <w:r w:rsidRPr="00C3044A">
        <w:rPr>
          <w:rFonts w:ascii="Times New Roman" w:eastAsia="Times New Roman" w:hAnsi="Times New Roman" w:cs="Times New Roman"/>
          <w:sz w:val="24"/>
          <w:szCs w:val="24"/>
        </w:rPr>
        <w:t xml:space="preserve">Foreløpige vurderinger viser at det kan gi 5 nye sengeplasser. </w:t>
      </w:r>
    </w:p>
    <w:p w:rsidR="00C3044A" w:rsidRPr="00C3044A" w:rsidRDefault="00C3044A" w:rsidP="00384ED1">
      <w:pPr>
        <w:spacing w:after="0" w:line="240" w:lineRule="auto"/>
        <w:rPr>
          <w:rFonts w:eastAsia="Cambria" w:cs="Times New Roman"/>
          <w:sz w:val="24"/>
          <w:szCs w:val="24"/>
          <w:lang w:val="nn-NO" w:eastAsia="en-US"/>
        </w:rPr>
      </w:pPr>
    </w:p>
    <w:p w:rsidR="00384ED1" w:rsidRPr="00384ED1" w:rsidRDefault="00384ED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384ED1">
        <w:rPr>
          <w:rFonts w:eastAsia="Cambria" w:cs="Times New Roman"/>
          <w:sz w:val="24"/>
          <w:szCs w:val="24"/>
          <w:lang w:eastAsia="en-US"/>
        </w:rPr>
        <w:t xml:space="preserve"> </w:t>
      </w:r>
    </w:p>
    <w:tbl>
      <w:tblPr>
        <w:tblStyle w:val="Tabellrutenett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106"/>
        <w:gridCol w:w="1021"/>
        <w:gridCol w:w="1275"/>
        <w:gridCol w:w="993"/>
        <w:gridCol w:w="850"/>
        <w:gridCol w:w="724"/>
        <w:gridCol w:w="830"/>
      </w:tblGrid>
      <w:tr w:rsidR="00384ED1" w:rsidRPr="00384ED1" w:rsidTr="00F0615B">
        <w:tc>
          <w:tcPr>
            <w:tcW w:w="2263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Prosjekt</w:t>
            </w:r>
          </w:p>
        </w:tc>
        <w:tc>
          <w:tcPr>
            <w:tcW w:w="1106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Budsjett</w:t>
            </w:r>
          </w:p>
        </w:tc>
        <w:tc>
          <w:tcPr>
            <w:tcW w:w="1021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Bevilget før</w:t>
            </w:r>
          </w:p>
        </w:tc>
        <w:tc>
          <w:tcPr>
            <w:tcW w:w="1275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Bevilget i økonomiplan 2015-2018</w:t>
            </w:r>
          </w:p>
        </w:tc>
        <w:tc>
          <w:tcPr>
            <w:tcW w:w="993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0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4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30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384ED1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2018</w:t>
            </w:r>
          </w:p>
        </w:tc>
      </w:tr>
      <w:tr w:rsidR="00384ED1" w:rsidRPr="00384ED1" w:rsidTr="00F0615B">
        <w:tc>
          <w:tcPr>
            <w:tcW w:w="2263" w:type="dxa"/>
          </w:tcPr>
          <w:p w:rsidR="00384ED1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Nytt produksjonskjøkken på Vatne</w:t>
            </w:r>
          </w:p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384ED1">
              <w:rPr>
                <w:rFonts w:asciiTheme="minorHAnsi" w:hAnsiTheme="minorHAnsi"/>
                <w:lang w:eastAsia="en-US"/>
              </w:rPr>
              <w:t>Prosjektnummer:</w:t>
            </w:r>
          </w:p>
          <w:p w:rsidR="00384ED1" w:rsidRPr="00384ED1" w:rsidRDefault="000A309D" w:rsidP="000A309D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41011</w:t>
            </w:r>
          </w:p>
        </w:tc>
        <w:tc>
          <w:tcPr>
            <w:tcW w:w="1106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384ED1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 mill</w:t>
            </w:r>
          </w:p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21" w:type="dxa"/>
          </w:tcPr>
          <w:p w:rsid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0A309D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 mill</w:t>
            </w:r>
          </w:p>
        </w:tc>
        <w:tc>
          <w:tcPr>
            <w:tcW w:w="1275" w:type="dxa"/>
          </w:tcPr>
          <w:p w:rsid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0A309D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 mill</w:t>
            </w:r>
          </w:p>
        </w:tc>
        <w:tc>
          <w:tcPr>
            <w:tcW w:w="993" w:type="dxa"/>
          </w:tcPr>
          <w:p w:rsidR="000A309D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0A309D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 mill</w:t>
            </w:r>
          </w:p>
        </w:tc>
        <w:tc>
          <w:tcPr>
            <w:tcW w:w="850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384ED1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 mill</w:t>
            </w:r>
          </w:p>
        </w:tc>
        <w:tc>
          <w:tcPr>
            <w:tcW w:w="724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384ED1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830" w:type="dxa"/>
          </w:tcPr>
          <w:p w:rsidR="00384ED1" w:rsidRPr="00384ED1" w:rsidRDefault="00384ED1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</w:p>
          <w:p w:rsidR="00384ED1" w:rsidRPr="00384ED1" w:rsidRDefault="000A309D" w:rsidP="00384ED1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</w:tr>
    </w:tbl>
    <w:p w:rsidR="00384ED1" w:rsidRPr="00384ED1" w:rsidRDefault="00384ED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384ED1" w:rsidRPr="00384ED1" w:rsidRDefault="00384ED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384ED1">
        <w:rPr>
          <w:rFonts w:eastAsia="Cambria" w:cs="Times New Roman"/>
          <w:sz w:val="24"/>
          <w:szCs w:val="24"/>
          <w:lang w:eastAsia="en-US"/>
        </w:rPr>
        <w:t xml:space="preserve">I denne saken legges det frem et forslag til byggeprogram </w:t>
      </w:r>
      <w:r w:rsidR="000A309D">
        <w:rPr>
          <w:rFonts w:eastAsia="Cambria" w:cs="Times New Roman"/>
          <w:sz w:val="24"/>
          <w:szCs w:val="24"/>
          <w:lang w:eastAsia="en-US"/>
        </w:rPr>
        <w:t xml:space="preserve">nytt produksjonskjøkken </w:t>
      </w:r>
      <w:r w:rsidR="005C2181">
        <w:rPr>
          <w:rFonts w:eastAsia="Cambria" w:cs="Times New Roman"/>
          <w:sz w:val="24"/>
          <w:szCs w:val="24"/>
          <w:lang w:eastAsia="en-US"/>
        </w:rPr>
        <w:t>på Vatne.</w:t>
      </w:r>
    </w:p>
    <w:p w:rsidR="00F0615B" w:rsidRDefault="00F0615B" w:rsidP="00B30221">
      <w:pPr>
        <w:rPr>
          <w:b/>
          <w:sz w:val="28"/>
          <w:szCs w:val="28"/>
          <w:u w:val="single"/>
        </w:rPr>
      </w:pPr>
    </w:p>
    <w:p w:rsidR="00720FD8" w:rsidRPr="00384ED1" w:rsidRDefault="00265A6A" w:rsidP="00B30221">
      <w:pPr>
        <w:rPr>
          <w:b/>
          <w:sz w:val="28"/>
          <w:szCs w:val="28"/>
          <w:u w:val="single"/>
        </w:rPr>
      </w:pPr>
      <w:r w:rsidRPr="00384ED1">
        <w:rPr>
          <w:b/>
          <w:sz w:val="28"/>
          <w:szCs w:val="28"/>
          <w:u w:val="single"/>
        </w:rPr>
        <w:t>Saksopplysninger:</w:t>
      </w:r>
    </w:p>
    <w:p w:rsidR="00384ED1" w:rsidRPr="00384ED1" w:rsidRDefault="00384ED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384ED1">
        <w:rPr>
          <w:rFonts w:eastAsia="Cambria" w:cs="Times New Roman"/>
          <w:sz w:val="24"/>
          <w:szCs w:val="24"/>
          <w:lang w:eastAsia="en-US"/>
        </w:rPr>
        <w:t xml:space="preserve">Byggeprogramkomiteen har bestått av: </w:t>
      </w:r>
    </w:p>
    <w:p w:rsidR="00384ED1" w:rsidRPr="00384ED1" w:rsidRDefault="005C218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>Roar Løining – Kjøkkensjef Sandnes matservice</w:t>
      </w:r>
    </w:p>
    <w:p w:rsidR="00384ED1" w:rsidRPr="00384ED1" w:rsidRDefault="005C218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5C2181">
        <w:rPr>
          <w:rFonts w:eastAsia="Cambria" w:cs="Times New Roman"/>
          <w:sz w:val="24"/>
          <w:szCs w:val="24"/>
          <w:lang w:eastAsia="en-US"/>
        </w:rPr>
        <w:t xml:space="preserve">Einar Stig </w:t>
      </w:r>
      <w:r>
        <w:rPr>
          <w:rFonts w:eastAsia="Cambria" w:cs="Times New Roman"/>
          <w:sz w:val="24"/>
          <w:szCs w:val="24"/>
          <w:lang w:eastAsia="en-US"/>
        </w:rPr>
        <w:t>Eriksen</w:t>
      </w:r>
      <w:r w:rsidR="00384ED1" w:rsidRPr="00384ED1">
        <w:rPr>
          <w:rFonts w:eastAsia="Cambria" w:cs="Times New Roman"/>
          <w:sz w:val="24"/>
          <w:szCs w:val="24"/>
          <w:lang w:eastAsia="en-US"/>
        </w:rPr>
        <w:t xml:space="preserve"> – Arkitekt</w:t>
      </w:r>
      <w:r>
        <w:rPr>
          <w:rFonts w:eastAsia="Cambria" w:cs="Times New Roman"/>
          <w:sz w:val="24"/>
          <w:szCs w:val="24"/>
          <w:lang w:eastAsia="en-US"/>
        </w:rPr>
        <w:t xml:space="preserve"> (Leif Nes arkitekter)</w:t>
      </w:r>
    </w:p>
    <w:p w:rsidR="00384ED1" w:rsidRPr="00384ED1" w:rsidRDefault="00384ED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384ED1">
        <w:rPr>
          <w:rFonts w:eastAsia="Cambria" w:cs="Times New Roman"/>
          <w:sz w:val="24"/>
          <w:szCs w:val="24"/>
          <w:lang w:eastAsia="en-US"/>
        </w:rPr>
        <w:t>Ingunn Bjerkelo – Sandnes Eiendom</w:t>
      </w:r>
      <w:r w:rsidR="005C2181">
        <w:rPr>
          <w:rFonts w:eastAsia="Cambria" w:cs="Times New Roman"/>
          <w:sz w:val="24"/>
          <w:szCs w:val="24"/>
          <w:lang w:eastAsia="en-US"/>
        </w:rPr>
        <w:t>sselskap KF</w:t>
      </w:r>
    </w:p>
    <w:p w:rsidR="00384ED1" w:rsidRPr="00384ED1" w:rsidRDefault="005C2181" w:rsidP="00384ED1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 xml:space="preserve">Jon Aarrestad – Prosjektleder (Epcon) </w:t>
      </w:r>
    </w:p>
    <w:p w:rsidR="00384ED1" w:rsidRPr="00384ED1" w:rsidRDefault="00384ED1" w:rsidP="00384ED1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384ED1">
        <w:rPr>
          <w:rFonts w:eastAsiaTheme="majorEastAsia" w:cstheme="majorBidi"/>
          <w:b/>
          <w:sz w:val="24"/>
          <w:szCs w:val="24"/>
          <w:lang w:eastAsia="en-US"/>
        </w:rPr>
        <w:lastRenderedPageBreak/>
        <w:t>Byggeprogram</w:t>
      </w:r>
    </w:p>
    <w:p w:rsidR="000E0680" w:rsidRDefault="00384ED1" w:rsidP="000E0680">
      <w:pPr>
        <w:spacing w:after="0"/>
        <w:rPr>
          <w:rFonts w:eastAsia="Cambria" w:cs="Times New Roman"/>
          <w:sz w:val="24"/>
          <w:szCs w:val="24"/>
          <w:lang w:eastAsia="en-US"/>
        </w:rPr>
      </w:pPr>
      <w:r w:rsidRPr="00384ED1">
        <w:rPr>
          <w:rFonts w:eastAsia="Cambria" w:cs="Times New Roman"/>
          <w:sz w:val="24"/>
          <w:szCs w:val="24"/>
          <w:lang w:eastAsia="en-US"/>
        </w:rPr>
        <w:t xml:space="preserve">Byggeprogrammet tar utgangspunkt i </w:t>
      </w:r>
      <w:r w:rsidR="000E0680">
        <w:rPr>
          <w:rFonts w:eastAsia="Cambria" w:cs="Times New Roman"/>
          <w:sz w:val="24"/>
          <w:szCs w:val="24"/>
          <w:lang w:eastAsia="en-US"/>
        </w:rPr>
        <w:t xml:space="preserve">vedtatt budsjett- og økonomiplan samt rådmannens påfølgende bestilling med følgende beskrivelse av prosjektets innhold: </w:t>
      </w:r>
    </w:p>
    <w:p w:rsidR="00F0615B" w:rsidRDefault="00F0615B" w:rsidP="004D1104">
      <w:pPr>
        <w:spacing w:after="0"/>
        <w:ind w:left="708"/>
        <w:rPr>
          <w:rFonts w:eastAsia="Cambria" w:cs="Times New Roman"/>
          <w:sz w:val="24"/>
          <w:szCs w:val="24"/>
          <w:lang w:eastAsia="en-US"/>
        </w:rPr>
      </w:pPr>
    </w:p>
    <w:p w:rsidR="000E0680" w:rsidRDefault="000E0680" w:rsidP="004D110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mbria" w:cs="Times New Roman"/>
          <w:sz w:val="24"/>
          <w:szCs w:val="24"/>
          <w:lang w:eastAsia="en-US"/>
        </w:rPr>
        <w:t>«</w:t>
      </w:r>
      <w:r w:rsidRPr="00747257">
        <w:rPr>
          <w:rFonts w:ascii="Times New Roman" w:eastAsia="Times New Roman" w:hAnsi="Times New Roman" w:cs="Times New Roman"/>
          <w:i/>
          <w:sz w:val="24"/>
          <w:szCs w:val="24"/>
        </w:rPr>
        <w:t>Nytt og moderne kjøkken for Sandnes Matservice som vil dekke behovet for mat og matforsyning til eldreomsorg, barnehager, skoler og intern/ekstern catering.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4F1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4ED1" w:rsidRPr="00384ED1" w:rsidRDefault="00384ED1" w:rsidP="004D1104">
      <w:pPr>
        <w:spacing w:after="0" w:line="240" w:lineRule="auto"/>
        <w:ind w:left="708"/>
        <w:rPr>
          <w:rFonts w:eastAsia="Cambria" w:cs="Times New Roman"/>
          <w:sz w:val="24"/>
          <w:szCs w:val="24"/>
          <w:lang w:eastAsia="en-US"/>
        </w:rPr>
      </w:pPr>
    </w:p>
    <w:p w:rsidR="006551CD" w:rsidRDefault="006551CD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 xml:space="preserve">I dagens produksjonskjøkken er det kapasitet til å levere matforsyning for inntil 500 personer. Sandnes kommune er i vekst, det bygges flere skoler, barnehager, boas og andre institusjoner. </w:t>
      </w:r>
    </w:p>
    <w:p w:rsidR="006551CD" w:rsidRDefault="006551CD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 xml:space="preserve">Dette har en tatt høyde for i planlegging av nytt produksjonskjøkken og nytt kjøkken vil kunne </w:t>
      </w:r>
      <w:r w:rsidR="00903731">
        <w:rPr>
          <w:rFonts w:eastAsia="Cambria" w:cs="Times New Roman"/>
          <w:sz w:val="24"/>
          <w:szCs w:val="24"/>
          <w:lang w:eastAsia="en-US"/>
        </w:rPr>
        <w:t>levere matforsyning for</w:t>
      </w:r>
      <w:r w:rsidR="00172A65">
        <w:rPr>
          <w:rFonts w:eastAsia="Cambria" w:cs="Times New Roman"/>
          <w:sz w:val="24"/>
          <w:szCs w:val="24"/>
          <w:lang w:eastAsia="en-US"/>
        </w:rPr>
        <w:t xml:space="preserve"> inntil 1200 personer.</w:t>
      </w:r>
    </w:p>
    <w:p w:rsidR="00172A65" w:rsidRDefault="00172A65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F96F22" w:rsidRDefault="00F96F22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>I gjeldene reguleringsplan for området er det lagt føringer for utforming av nye</w:t>
      </w:r>
      <w:r w:rsidR="00C3044A">
        <w:rPr>
          <w:rFonts w:eastAsia="Cambria" w:cs="Times New Roman"/>
          <w:sz w:val="24"/>
          <w:szCs w:val="24"/>
          <w:lang w:eastAsia="en-US"/>
        </w:rPr>
        <w:t xml:space="preserve"> bygningsenheter</w:t>
      </w:r>
      <w:r>
        <w:rPr>
          <w:rFonts w:eastAsia="Cambria" w:cs="Times New Roman"/>
          <w:sz w:val="24"/>
          <w:szCs w:val="24"/>
          <w:lang w:eastAsia="en-US"/>
        </w:rPr>
        <w:t>:</w:t>
      </w:r>
    </w:p>
    <w:p w:rsidR="00F0615B" w:rsidRDefault="00F0615B" w:rsidP="009D7853">
      <w:pPr>
        <w:spacing w:after="0" w:line="240" w:lineRule="auto"/>
        <w:rPr>
          <w:rFonts w:eastAsia="Cambria" w:cs="Times New Roman"/>
          <w:i/>
          <w:sz w:val="24"/>
          <w:szCs w:val="24"/>
          <w:lang w:eastAsia="en-US"/>
        </w:rPr>
      </w:pPr>
    </w:p>
    <w:p w:rsidR="00F96F22" w:rsidRDefault="00F96F22" w:rsidP="004D1104">
      <w:pPr>
        <w:spacing w:after="0" w:line="240" w:lineRule="auto"/>
        <w:ind w:left="708"/>
        <w:rPr>
          <w:rFonts w:eastAsia="Cambria" w:cs="Times New Roman"/>
          <w:i/>
          <w:sz w:val="24"/>
          <w:szCs w:val="24"/>
          <w:lang w:eastAsia="en-US"/>
        </w:rPr>
      </w:pPr>
      <w:r w:rsidRPr="00F96F22">
        <w:rPr>
          <w:rFonts w:eastAsia="Cambria" w:cs="Times New Roman"/>
          <w:i/>
          <w:sz w:val="24"/>
          <w:szCs w:val="24"/>
          <w:lang w:eastAsia="en-US"/>
        </w:rPr>
        <w:t>«Nye bygningsenheter skal harmonere med nåværende bebyggelse i form, høyde og lengde. Nye eller fornyede bygg skal ha saltak eller valmet tak, tilpasset omkringliggende bebyggelse, med teglfarget takmateriale og største takvinkel på 30 grader.»</w:t>
      </w:r>
    </w:p>
    <w:p w:rsidR="00F0615B" w:rsidRPr="00F96F22" w:rsidRDefault="00F0615B" w:rsidP="004D1104">
      <w:pPr>
        <w:spacing w:after="0" w:line="240" w:lineRule="auto"/>
        <w:ind w:left="708"/>
        <w:rPr>
          <w:rFonts w:eastAsia="Cambria" w:cs="Times New Roman"/>
          <w:i/>
          <w:sz w:val="24"/>
          <w:szCs w:val="24"/>
          <w:lang w:eastAsia="en-US"/>
        </w:rPr>
      </w:pPr>
    </w:p>
    <w:p w:rsidR="00F96F22" w:rsidRDefault="000F38EF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>I 4B-kalkyler lå bygget inne med flatt tak, dette er i romprogrammet endret for å oppfylle kravene stilt i reguleringsplan for området.</w:t>
      </w:r>
    </w:p>
    <w:p w:rsidR="000F38EF" w:rsidRDefault="000F38EF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0F38EF" w:rsidRDefault="000F38EF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 xml:space="preserve">Nytt produksjonskjøkken er planlagt plassert i nær tilknytning til verneverdig bebyggelse i Vatneleiren. Byantikvaren i Sandnes kommune har av den grunn </w:t>
      </w:r>
      <w:r w:rsidR="006551CD">
        <w:rPr>
          <w:rFonts w:eastAsia="Cambria" w:cs="Times New Roman"/>
          <w:sz w:val="24"/>
          <w:szCs w:val="24"/>
          <w:lang w:eastAsia="en-US"/>
        </w:rPr>
        <w:t>krevd a</w:t>
      </w:r>
      <w:r>
        <w:rPr>
          <w:rFonts w:eastAsia="Cambria" w:cs="Times New Roman"/>
          <w:sz w:val="24"/>
          <w:szCs w:val="24"/>
          <w:lang w:eastAsia="en-US"/>
        </w:rPr>
        <w:t xml:space="preserve">t fasade på skal </w:t>
      </w:r>
      <w:r w:rsidR="006551CD">
        <w:rPr>
          <w:rFonts w:eastAsia="Cambria" w:cs="Times New Roman"/>
          <w:sz w:val="24"/>
          <w:szCs w:val="24"/>
          <w:lang w:eastAsia="en-US"/>
        </w:rPr>
        <w:t xml:space="preserve">ha </w:t>
      </w:r>
      <w:r w:rsidR="00602579">
        <w:rPr>
          <w:rFonts w:eastAsia="Cambria" w:cs="Times New Roman"/>
          <w:sz w:val="24"/>
          <w:szCs w:val="24"/>
          <w:lang w:eastAsia="en-US"/>
        </w:rPr>
        <w:t>tre</w:t>
      </w:r>
      <w:r w:rsidR="004D1104">
        <w:rPr>
          <w:rFonts w:eastAsia="Cambria" w:cs="Times New Roman"/>
          <w:sz w:val="24"/>
          <w:szCs w:val="24"/>
          <w:lang w:eastAsia="en-US"/>
        </w:rPr>
        <w:t>-</w:t>
      </w:r>
      <w:r w:rsidR="00602579">
        <w:rPr>
          <w:rFonts w:eastAsia="Cambria" w:cs="Times New Roman"/>
          <w:sz w:val="24"/>
          <w:szCs w:val="24"/>
          <w:lang w:eastAsia="en-US"/>
        </w:rPr>
        <w:t>kledning</w:t>
      </w:r>
      <w:r>
        <w:rPr>
          <w:rFonts w:eastAsia="Cambria" w:cs="Times New Roman"/>
          <w:sz w:val="24"/>
          <w:szCs w:val="24"/>
          <w:lang w:eastAsia="en-US"/>
        </w:rPr>
        <w:t xml:space="preserve">. I 4B-kalkyler ble </w:t>
      </w:r>
      <w:r w:rsidR="006551CD">
        <w:rPr>
          <w:rFonts w:eastAsia="Cambria" w:cs="Times New Roman"/>
          <w:sz w:val="24"/>
          <w:szCs w:val="24"/>
          <w:lang w:eastAsia="en-US"/>
        </w:rPr>
        <w:t>isolerte stålelementer lagt til grunn. Fordi det nå er stilt krav om tre</w:t>
      </w:r>
      <w:r w:rsidR="004D1104">
        <w:rPr>
          <w:rFonts w:eastAsia="Cambria" w:cs="Times New Roman"/>
          <w:sz w:val="24"/>
          <w:szCs w:val="24"/>
          <w:lang w:eastAsia="en-US"/>
        </w:rPr>
        <w:t>-</w:t>
      </w:r>
      <w:r w:rsidR="00602579">
        <w:rPr>
          <w:rFonts w:eastAsia="Cambria" w:cs="Times New Roman"/>
          <w:sz w:val="24"/>
          <w:szCs w:val="24"/>
          <w:lang w:eastAsia="en-US"/>
        </w:rPr>
        <w:t>kledning kledd</w:t>
      </w:r>
      <w:r w:rsidR="00F0615B">
        <w:rPr>
          <w:rFonts w:eastAsia="Cambria" w:cs="Times New Roman"/>
          <w:sz w:val="24"/>
          <w:szCs w:val="24"/>
          <w:lang w:eastAsia="en-US"/>
        </w:rPr>
        <w:t xml:space="preserve"> fasade,</w:t>
      </w:r>
      <w:r w:rsidR="006551CD">
        <w:rPr>
          <w:rFonts w:eastAsia="Cambria" w:cs="Times New Roman"/>
          <w:sz w:val="24"/>
          <w:szCs w:val="24"/>
          <w:lang w:eastAsia="en-US"/>
        </w:rPr>
        <w:t xml:space="preserve"> har en måtte</w:t>
      </w:r>
      <w:r w:rsidR="00F0615B">
        <w:rPr>
          <w:rFonts w:eastAsia="Cambria" w:cs="Times New Roman"/>
          <w:sz w:val="24"/>
          <w:szCs w:val="24"/>
          <w:lang w:eastAsia="en-US"/>
        </w:rPr>
        <w:t>t</w:t>
      </w:r>
      <w:r w:rsidR="006551CD">
        <w:rPr>
          <w:rFonts w:eastAsia="Cambria" w:cs="Times New Roman"/>
          <w:sz w:val="24"/>
          <w:szCs w:val="24"/>
          <w:lang w:eastAsia="en-US"/>
        </w:rPr>
        <w:t xml:space="preserve"> endre konsept til betongelementer som blir kledd</w:t>
      </w:r>
      <w:r w:rsidR="00F0615B">
        <w:rPr>
          <w:rFonts w:eastAsia="Cambria" w:cs="Times New Roman"/>
          <w:sz w:val="24"/>
          <w:szCs w:val="24"/>
          <w:lang w:eastAsia="en-US"/>
        </w:rPr>
        <w:t xml:space="preserve"> med </w:t>
      </w:r>
      <w:r w:rsidR="00602579">
        <w:rPr>
          <w:rFonts w:eastAsia="Cambria" w:cs="Times New Roman"/>
          <w:sz w:val="24"/>
          <w:szCs w:val="24"/>
          <w:lang w:eastAsia="en-US"/>
        </w:rPr>
        <w:t>tre</w:t>
      </w:r>
      <w:r w:rsidR="004D1104">
        <w:rPr>
          <w:rFonts w:eastAsia="Cambria" w:cs="Times New Roman"/>
          <w:sz w:val="24"/>
          <w:szCs w:val="24"/>
          <w:lang w:eastAsia="en-US"/>
        </w:rPr>
        <w:t>-</w:t>
      </w:r>
      <w:r w:rsidR="00602579">
        <w:rPr>
          <w:rFonts w:eastAsia="Cambria" w:cs="Times New Roman"/>
          <w:sz w:val="24"/>
          <w:szCs w:val="24"/>
          <w:lang w:eastAsia="en-US"/>
        </w:rPr>
        <w:t xml:space="preserve"> kledning</w:t>
      </w:r>
      <w:r w:rsidR="006551CD">
        <w:rPr>
          <w:rFonts w:eastAsia="Cambria" w:cs="Times New Roman"/>
          <w:sz w:val="24"/>
          <w:szCs w:val="24"/>
          <w:lang w:eastAsia="en-US"/>
        </w:rPr>
        <w:t>. Det vil ikke være en løsning å kle stålelementene.</w:t>
      </w:r>
    </w:p>
    <w:p w:rsidR="006551CD" w:rsidRDefault="006551CD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>Dette medfører at yttervegger går fra 15 cm tykkelse til ca</w:t>
      </w:r>
      <w:r w:rsidR="00F0615B">
        <w:rPr>
          <w:rFonts w:eastAsia="Cambria" w:cs="Times New Roman"/>
          <w:sz w:val="24"/>
          <w:szCs w:val="24"/>
          <w:lang w:eastAsia="en-US"/>
        </w:rPr>
        <w:t>.</w:t>
      </w:r>
      <w:r>
        <w:rPr>
          <w:rFonts w:eastAsia="Cambria" w:cs="Times New Roman"/>
          <w:sz w:val="24"/>
          <w:szCs w:val="24"/>
          <w:lang w:eastAsia="en-US"/>
        </w:rPr>
        <w:t xml:space="preserve"> 50 cm tykkelse og gir et økt </w:t>
      </w:r>
      <w:r w:rsidR="00150778">
        <w:rPr>
          <w:rFonts w:eastAsia="Cambria" w:cs="Times New Roman"/>
          <w:sz w:val="24"/>
          <w:szCs w:val="24"/>
          <w:lang w:eastAsia="en-US"/>
        </w:rPr>
        <w:t>brutto</w:t>
      </w:r>
      <w:r>
        <w:rPr>
          <w:rFonts w:eastAsia="Cambria" w:cs="Times New Roman"/>
          <w:sz w:val="24"/>
          <w:szCs w:val="24"/>
          <w:lang w:eastAsia="en-US"/>
        </w:rPr>
        <w:t>areal ift. opprinnelig plan.</w:t>
      </w:r>
    </w:p>
    <w:p w:rsidR="006551CD" w:rsidRDefault="006551CD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172A65" w:rsidRDefault="00150778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>Det er vurdert om det vil være behov for reservekraft for produksjonskjøkkenet.  I byggeprogrammet ligger reservekraft inne, lagt til rom i underetasje. Kostnader knyttet til reservekraft er beregnet til 300 000 kr eks. mva</w:t>
      </w:r>
      <w:r w:rsidR="00602579">
        <w:rPr>
          <w:rFonts w:eastAsia="Cambria" w:cs="Times New Roman"/>
          <w:sz w:val="24"/>
          <w:szCs w:val="24"/>
          <w:lang w:eastAsia="en-US"/>
        </w:rPr>
        <w:t>.</w:t>
      </w:r>
      <w:r>
        <w:rPr>
          <w:rFonts w:eastAsia="Cambria" w:cs="Times New Roman"/>
          <w:sz w:val="24"/>
          <w:szCs w:val="24"/>
          <w:lang w:eastAsia="en-US"/>
        </w:rPr>
        <w:t xml:space="preserve"> for rom og 300 000 kr eks mva</w:t>
      </w:r>
      <w:r w:rsidR="00602579">
        <w:rPr>
          <w:rFonts w:eastAsia="Cambria" w:cs="Times New Roman"/>
          <w:sz w:val="24"/>
          <w:szCs w:val="24"/>
          <w:lang w:eastAsia="en-US"/>
        </w:rPr>
        <w:t>.</w:t>
      </w:r>
      <w:r>
        <w:rPr>
          <w:rFonts w:eastAsia="Cambria" w:cs="Times New Roman"/>
          <w:sz w:val="24"/>
          <w:szCs w:val="24"/>
          <w:lang w:eastAsia="en-US"/>
        </w:rPr>
        <w:t xml:space="preserve"> for reservekraftsagregat. </w:t>
      </w:r>
    </w:p>
    <w:p w:rsidR="00172A65" w:rsidRDefault="00172A65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172A65" w:rsidRDefault="00150778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>Kjølelager knyttet til produksjonskjøkkenet har økt noe i areal ift. opprinnelig plan. Dette er et uttrykt ønske fra bruk</w:t>
      </w:r>
      <w:r w:rsidR="006B3409">
        <w:rPr>
          <w:rFonts w:eastAsia="Cambria" w:cs="Times New Roman"/>
          <w:sz w:val="24"/>
          <w:szCs w:val="24"/>
          <w:lang w:eastAsia="en-US"/>
        </w:rPr>
        <w:t>er og gir funksjonell</w:t>
      </w:r>
      <w:r w:rsidR="00EC692E">
        <w:rPr>
          <w:rFonts w:eastAsia="Cambria" w:cs="Times New Roman"/>
          <w:sz w:val="24"/>
          <w:szCs w:val="24"/>
          <w:lang w:eastAsia="en-US"/>
        </w:rPr>
        <w:t>e</w:t>
      </w:r>
      <w:r w:rsidR="006B3409">
        <w:rPr>
          <w:rFonts w:eastAsia="Cambria" w:cs="Times New Roman"/>
          <w:sz w:val="24"/>
          <w:szCs w:val="24"/>
          <w:lang w:eastAsia="en-US"/>
        </w:rPr>
        <w:t xml:space="preserve"> arbeidsforhol</w:t>
      </w:r>
      <w:r w:rsidR="00EC692E">
        <w:rPr>
          <w:rFonts w:eastAsia="Cambria" w:cs="Times New Roman"/>
          <w:sz w:val="24"/>
          <w:szCs w:val="24"/>
          <w:lang w:eastAsia="en-US"/>
        </w:rPr>
        <w:t>d</w:t>
      </w:r>
      <w:r w:rsidR="006B3409">
        <w:rPr>
          <w:rFonts w:eastAsia="Cambria" w:cs="Times New Roman"/>
          <w:sz w:val="24"/>
          <w:szCs w:val="24"/>
          <w:lang w:eastAsia="en-US"/>
        </w:rPr>
        <w:t xml:space="preserve"> </w:t>
      </w:r>
      <w:r w:rsidR="00EC692E">
        <w:rPr>
          <w:rFonts w:eastAsia="Cambria" w:cs="Times New Roman"/>
          <w:sz w:val="24"/>
          <w:szCs w:val="24"/>
          <w:lang w:eastAsia="en-US"/>
        </w:rPr>
        <w:t xml:space="preserve">og god logistikk </w:t>
      </w:r>
      <w:r w:rsidR="006B3409">
        <w:rPr>
          <w:rFonts w:eastAsia="Cambria" w:cs="Times New Roman"/>
          <w:sz w:val="24"/>
          <w:szCs w:val="24"/>
          <w:lang w:eastAsia="en-US"/>
        </w:rPr>
        <w:t>knyttet til nedkjøling og midlertidig lagring før utkjøring av matlev</w:t>
      </w:r>
      <w:r w:rsidR="00EC692E">
        <w:rPr>
          <w:rFonts w:eastAsia="Cambria" w:cs="Times New Roman"/>
          <w:sz w:val="24"/>
          <w:szCs w:val="24"/>
          <w:lang w:eastAsia="en-US"/>
        </w:rPr>
        <w:t>e</w:t>
      </w:r>
      <w:r w:rsidR="006B3409">
        <w:rPr>
          <w:rFonts w:eastAsia="Cambria" w:cs="Times New Roman"/>
          <w:sz w:val="24"/>
          <w:szCs w:val="24"/>
          <w:lang w:eastAsia="en-US"/>
        </w:rPr>
        <w:t>ranser.</w:t>
      </w:r>
    </w:p>
    <w:p w:rsidR="006B3409" w:rsidRDefault="006B3409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6B3409" w:rsidRDefault="006B3409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>Inventar lå ikke inne i opprinnelig kalkyle. Når det gjelder produksjonskjøkkenet vil en flytte og gjenbruke de elementene som kan nyttes fra dagens kjøkken på Åse bo</w:t>
      </w:r>
      <w:r w:rsidR="00EC692E">
        <w:rPr>
          <w:rFonts w:eastAsia="Cambria" w:cs="Times New Roman"/>
          <w:sz w:val="24"/>
          <w:szCs w:val="24"/>
          <w:lang w:eastAsia="en-US"/>
        </w:rPr>
        <w:t>as</w:t>
      </w:r>
      <w:r w:rsidR="00903731">
        <w:rPr>
          <w:rFonts w:eastAsia="Cambria" w:cs="Times New Roman"/>
          <w:sz w:val="24"/>
          <w:szCs w:val="24"/>
          <w:lang w:eastAsia="en-US"/>
        </w:rPr>
        <w:t>. Flytting og remontering er beregnet til ca. 100 000 kr eks. mva</w:t>
      </w:r>
      <w:r w:rsidR="00EC692E">
        <w:rPr>
          <w:rFonts w:eastAsia="Cambria" w:cs="Times New Roman"/>
          <w:sz w:val="24"/>
          <w:szCs w:val="24"/>
          <w:lang w:eastAsia="en-US"/>
        </w:rPr>
        <w:t>. Ut over dette vil det være behov for</w:t>
      </w:r>
      <w:r>
        <w:rPr>
          <w:rFonts w:eastAsia="Cambria" w:cs="Times New Roman"/>
          <w:sz w:val="24"/>
          <w:szCs w:val="24"/>
          <w:lang w:eastAsia="en-US"/>
        </w:rPr>
        <w:t xml:space="preserve"> å anskaffe produksjonskj</w:t>
      </w:r>
      <w:r w:rsidR="00EC692E">
        <w:rPr>
          <w:rFonts w:eastAsia="Cambria" w:cs="Times New Roman"/>
          <w:sz w:val="24"/>
          <w:szCs w:val="24"/>
          <w:lang w:eastAsia="en-US"/>
        </w:rPr>
        <w:t>ø</w:t>
      </w:r>
      <w:r>
        <w:rPr>
          <w:rFonts w:eastAsia="Cambria" w:cs="Times New Roman"/>
          <w:sz w:val="24"/>
          <w:szCs w:val="24"/>
          <w:lang w:eastAsia="en-US"/>
        </w:rPr>
        <w:t>kkenelementer for en kalkulert pris på 2,</w:t>
      </w:r>
      <w:r w:rsidR="00903731">
        <w:rPr>
          <w:rFonts w:eastAsia="Cambria" w:cs="Times New Roman"/>
          <w:sz w:val="24"/>
          <w:szCs w:val="24"/>
          <w:lang w:eastAsia="en-US"/>
        </w:rPr>
        <w:t>7</w:t>
      </w:r>
      <w:r>
        <w:rPr>
          <w:rFonts w:eastAsia="Cambria" w:cs="Times New Roman"/>
          <w:sz w:val="24"/>
          <w:szCs w:val="24"/>
          <w:lang w:eastAsia="en-US"/>
        </w:rPr>
        <w:t xml:space="preserve"> mill</w:t>
      </w:r>
      <w:r w:rsidR="00EC692E">
        <w:rPr>
          <w:rFonts w:eastAsia="Cambria" w:cs="Times New Roman"/>
          <w:sz w:val="24"/>
          <w:szCs w:val="24"/>
          <w:lang w:eastAsia="en-US"/>
        </w:rPr>
        <w:t>.</w:t>
      </w:r>
      <w:r>
        <w:rPr>
          <w:rFonts w:eastAsia="Cambria" w:cs="Times New Roman"/>
          <w:sz w:val="24"/>
          <w:szCs w:val="24"/>
          <w:lang w:eastAsia="en-US"/>
        </w:rPr>
        <w:t xml:space="preserve"> kr eks. mva. I tillegg er det behov for løst inventar til kontorer, pauserom, garderober og lager</w:t>
      </w:r>
      <w:r w:rsidR="00EC692E">
        <w:rPr>
          <w:rFonts w:eastAsia="Cambria" w:cs="Times New Roman"/>
          <w:sz w:val="24"/>
          <w:szCs w:val="24"/>
          <w:lang w:eastAsia="en-US"/>
        </w:rPr>
        <w:t xml:space="preserve"> mv. anslå</w:t>
      </w:r>
      <w:r>
        <w:rPr>
          <w:rFonts w:eastAsia="Cambria" w:cs="Times New Roman"/>
          <w:sz w:val="24"/>
          <w:szCs w:val="24"/>
          <w:lang w:eastAsia="en-US"/>
        </w:rPr>
        <w:t>tt til 1 mill</w:t>
      </w:r>
      <w:r w:rsidR="00EC692E">
        <w:rPr>
          <w:rFonts w:eastAsia="Cambria" w:cs="Times New Roman"/>
          <w:sz w:val="24"/>
          <w:szCs w:val="24"/>
          <w:lang w:eastAsia="en-US"/>
        </w:rPr>
        <w:t>.</w:t>
      </w:r>
      <w:r>
        <w:rPr>
          <w:rFonts w:eastAsia="Cambria" w:cs="Times New Roman"/>
          <w:sz w:val="24"/>
          <w:szCs w:val="24"/>
          <w:lang w:eastAsia="en-US"/>
        </w:rPr>
        <w:t xml:space="preserve"> kr eks</w:t>
      </w:r>
      <w:r w:rsidR="00903731">
        <w:rPr>
          <w:rFonts w:eastAsia="Cambria" w:cs="Times New Roman"/>
          <w:sz w:val="24"/>
          <w:szCs w:val="24"/>
          <w:lang w:eastAsia="en-US"/>
        </w:rPr>
        <w:t>.</w:t>
      </w:r>
      <w:r>
        <w:rPr>
          <w:rFonts w:eastAsia="Cambria" w:cs="Times New Roman"/>
          <w:sz w:val="24"/>
          <w:szCs w:val="24"/>
          <w:lang w:eastAsia="en-US"/>
        </w:rPr>
        <w:t xml:space="preserve"> mva. I eksisterende lokaler er det ikke inventar som kan gjenbrukes til formålet.</w:t>
      </w:r>
    </w:p>
    <w:p w:rsidR="00C50316" w:rsidRDefault="00C50316" w:rsidP="00C3044A">
      <w:pPr>
        <w:spacing w:after="0" w:line="240" w:lineRule="auto"/>
        <w:ind w:left="708" w:firstLine="708"/>
        <w:rPr>
          <w:rFonts w:ascii="Cambria" w:eastAsia="Cambria" w:hAnsi="Cambria" w:cs="Times New Roman"/>
          <w:b/>
          <w:sz w:val="24"/>
          <w:szCs w:val="24"/>
          <w:lang w:eastAsia="en-US"/>
        </w:rPr>
      </w:pPr>
    </w:p>
    <w:p w:rsidR="00DE4D8A" w:rsidRPr="00DE4D8A" w:rsidRDefault="00DE4D8A" w:rsidP="00C3044A">
      <w:pPr>
        <w:spacing w:after="0" w:line="240" w:lineRule="auto"/>
        <w:ind w:left="708" w:firstLine="708"/>
        <w:rPr>
          <w:rFonts w:ascii="Cambria" w:eastAsia="Cambria" w:hAnsi="Cambria" w:cs="Times New Roman"/>
          <w:b/>
          <w:sz w:val="24"/>
          <w:szCs w:val="24"/>
          <w:lang w:eastAsia="en-US"/>
        </w:rPr>
      </w:pPr>
      <w:r w:rsidRPr="00DE4D8A">
        <w:rPr>
          <w:rFonts w:ascii="Cambria" w:eastAsia="Cambria" w:hAnsi="Cambria" w:cs="Times New Roman"/>
          <w:b/>
          <w:sz w:val="24"/>
          <w:szCs w:val="24"/>
          <w:lang w:eastAsia="en-US"/>
        </w:rPr>
        <w:t xml:space="preserve">Arealdisposisjon </w:t>
      </w:r>
      <w:r w:rsidR="006D0351">
        <w:rPr>
          <w:rFonts w:ascii="Cambria" w:eastAsia="Cambria" w:hAnsi="Cambria" w:cs="Times New Roman"/>
          <w:b/>
          <w:sz w:val="24"/>
          <w:szCs w:val="24"/>
          <w:lang w:eastAsia="en-US"/>
        </w:rPr>
        <w:t xml:space="preserve">produksjonskjøkken Vatne </w:t>
      </w:r>
    </w:p>
    <w:p w:rsidR="00DE4D8A" w:rsidRPr="00DE4D8A" w:rsidRDefault="00DE4D8A" w:rsidP="00DE4D8A">
      <w:pPr>
        <w:spacing w:after="0" w:line="240" w:lineRule="auto"/>
        <w:rPr>
          <w:rFonts w:ascii="Cambria" w:eastAsia="Cambria" w:hAnsi="Cambria" w:cs="Times New Roman"/>
          <w:sz w:val="24"/>
          <w:szCs w:val="24"/>
          <w:lang w:eastAsia="en-US"/>
        </w:rPr>
      </w:pPr>
    </w:p>
    <w:tbl>
      <w:tblPr>
        <w:tblW w:w="5214" w:type="dxa"/>
        <w:tblInd w:w="1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2571"/>
        <w:gridCol w:w="1246"/>
        <w:gridCol w:w="1028"/>
      </w:tblGrid>
      <w:tr w:rsidR="00C53EF2" w:rsidRPr="00DE4D8A" w:rsidTr="00222D10">
        <w:trPr>
          <w:trHeight w:val="252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EF2" w:rsidRPr="00DE4D8A" w:rsidTr="00222D10">
        <w:trPr>
          <w:trHeight w:val="279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Rom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C53EF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Romnummer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areal</w:t>
            </w:r>
          </w:p>
        </w:tc>
      </w:tr>
      <w:tr w:rsidR="00397B84" w:rsidRPr="00DE4D8A" w:rsidTr="00222D10">
        <w:trPr>
          <w:trHeight w:val="239"/>
        </w:trPr>
        <w:tc>
          <w:tcPr>
            <w:tcW w:w="52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B84" w:rsidRDefault="00397B84" w:rsidP="00397B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Underetasje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Default="00C53EF2" w:rsidP="00C53E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Korridor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8,8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C53EF2" w:rsidP="00C53E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Ventilasjonsrom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87,4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Kuldemaskin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C53E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22,0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Reservekraft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12,2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EF2" w:rsidRPr="00DE4D8A" w:rsidRDefault="00C53EF2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Hovedtavle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006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9,9</w:t>
            </w:r>
          </w:p>
        </w:tc>
      </w:tr>
      <w:tr w:rsidR="00222D10" w:rsidRPr="00DE4D8A" w:rsidTr="00222D10">
        <w:trPr>
          <w:trHeight w:val="239"/>
        </w:trPr>
        <w:tc>
          <w:tcPr>
            <w:tcW w:w="521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2D10" w:rsidRPr="00222D10" w:rsidRDefault="00E4078F" w:rsidP="00222D10">
            <w:pPr>
              <w:pStyle w:val="Listeavsnitt"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222D10">
              <w:rPr>
                <w:rFonts w:ascii="Arial Narrow" w:eastAsia="Times New Roman" w:hAnsi="Arial Narrow" w:cs="Arial"/>
                <w:sz w:val="20"/>
                <w:szCs w:val="20"/>
              </w:rPr>
              <w:t>1.</w:t>
            </w:r>
            <w:r w:rsidR="00222D10" w:rsidRPr="00222D10">
              <w:rPr>
                <w:rFonts w:ascii="Arial Narrow" w:eastAsia="Times New Roman" w:hAnsi="Arial Narrow" w:cs="Arial"/>
                <w:sz w:val="20"/>
                <w:szCs w:val="20"/>
              </w:rPr>
              <w:t xml:space="preserve">etasje – personalfasiliteter 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3EF2" w:rsidRPr="00DE4D8A" w:rsidRDefault="00C53EF2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Korridor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27,1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Pauserom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38,2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9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HcWC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6,6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Garderobe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104A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9,2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WC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104B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2,1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Dusj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104C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3,1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Lager – tøy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7,9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Rengjøring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4,9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WC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2,1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Garderobe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108A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22,9</w:t>
            </w:r>
          </w:p>
        </w:tc>
      </w:tr>
      <w:tr w:rsidR="00C53EF2" w:rsidRPr="00DE4D8A" w:rsidTr="00222D10">
        <w:trPr>
          <w:trHeight w:val="239"/>
        </w:trPr>
        <w:tc>
          <w:tcPr>
            <w:tcW w:w="3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WC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108B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2,1</w:t>
            </w:r>
          </w:p>
        </w:tc>
      </w:tr>
      <w:tr w:rsidR="00C53EF2" w:rsidRPr="00DE4D8A" w:rsidTr="00222D10">
        <w:trPr>
          <w:trHeight w:val="252"/>
        </w:trPr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EF2" w:rsidRPr="00DE4D8A" w:rsidRDefault="00C53EF2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E4D8A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Dusj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108C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DE4D8A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2,7</w:t>
            </w:r>
          </w:p>
        </w:tc>
      </w:tr>
      <w:tr w:rsidR="00C53EF2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EF2" w:rsidRPr="00397B84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397B84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19</w:t>
            </w:r>
            <w:r w:rsidR="00C53EF2" w:rsidRPr="00397B84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53EF2" w:rsidRPr="00397B84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397B84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Dusj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397B84" w:rsidRDefault="00397B84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397B84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108D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53EF2" w:rsidRPr="00397B84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 w:rsidRPr="00397B84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2,7</w:t>
            </w:r>
          </w:p>
        </w:tc>
      </w:tr>
      <w:tr w:rsidR="00222D10" w:rsidRPr="00DE4D8A" w:rsidTr="00222D10">
        <w:trPr>
          <w:trHeight w:val="252"/>
        </w:trPr>
        <w:tc>
          <w:tcPr>
            <w:tcW w:w="5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Pr="00397B84" w:rsidRDefault="00222D10" w:rsidP="003407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1.etasje- produksjonskjøkken </w:t>
            </w:r>
          </w:p>
        </w:tc>
      </w:tr>
      <w:tr w:rsidR="00397B84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B84" w:rsidRPr="00397B84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20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7B84" w:rsidRPr="00397B84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Møte/samtalerom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B84" w:rsidRPr="00397B84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106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B84" w:rsidRPr="00397B84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13,4</w:t>
            </w:r>
          </w:p>
        </w:tc>
      </w:tr>
      <w:tr w:rsidR="00397B84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B84" w:rsidRPr="00397B84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21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7B84" w:rsidRPr="00397B84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Produksjon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B84" w:rsidRPr="00397B84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107A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B84" w:rsidRPr="00397B84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290,7</w:t>
            </w:r>
          </w:p>
        </w:tc>
      </w:tr>
      <w:tr w:rsidR="00397B84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B84" w:rsidRPr="00397B84" w:rsidRDefault="00397B84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7B84" w:rsidRPr="00397B84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Grovkjøkken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B84" w:rsidRPr="00397B84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107B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7B84" w:rsidRPr="00397B84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16,4</w:t>
            </w:r>
          </w:p>
        </w:tc>
      </w:tr>
      <w:tr w:rsidR="00222D10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Pr="00397B84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23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Kjøtt catering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107C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13,7</w:t>
            </w:r>
          </w:p>
        </w:tc>
      </w:tr>
      <w:tr w:rsidR="00222D10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Diettkjøkken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107D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19,4</w:t>
            </w:r>
          </w:p>
        </w:tc>
      </w:tr>
      <w:tr w:rsidR="00222D10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24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Bakeri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107E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23,8</w:t>
            </w:r>
          </w:p>
        </w:tc>
      </w:tr>
      <w:tr w:rsidR="00222D10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25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Oppvask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107F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38,3</w:t>
            </w:r>
          </w:p>
        </w:tc>
      </w:tr>
      <w:tr w:rsidR="00222D10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26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Kontor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108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11,0</w:t>
            </w:r>
          </w:p>
        </w:tc>
      </w:tr>
      <w:tr w:rsidR="00222D10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27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Kontor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11,0</w:t>
            </w:r>
          </w:p>
        </w:tc>
      </w:tr>
      <w:tr w:rsidR="00222D10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28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Kjøtt lager\ vareutlevering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DE4D8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79,7</w:t>
            </w:r>
          </w:p>
        </w:tc>
      </w:tr>
      <w:tr w:rsidR="00222D10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Kjøletunnel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5,4</w:t>
            </w:r>
          </w:p>
        </w:tc>
      </w:tr>
      <w:tr w:rsidR="00222D10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Kjøletunnel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109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5,4</w:t>
            </w:r>
          </w:p>
        </w:tc>
      </w:tr>
      <w:tr w:rsidR="00222D10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29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Mottak oppvask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110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19,1</w:t>
            </w:r>
          </w:p>
        </w:tc>
      </w:tr>
      <w:tr w:rsidR="00222D10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222D10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30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22D10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Lager kolonial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111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2D10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26,5</w:t>
            </w:r>
          </w:p>
        </w:tc>
      </w:tr>
      <w:tr w:rsidR="00736178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Varemottak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112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32,9</w:t>
            </w:r>
          </w:p>
        </w:tc>
      </w:tr>
      <w:tr w:rsidR="00736178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Trapp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113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7,2</w:t>
            </w:r>
          </w:p>
        </w:tc>
      </w:tr>
      <w:tr w:rsidR="00736178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Trapp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114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3,0</w:t>
            </w:r>
          </w:p>
        </w:tc>
      </w:tr>
      <w:tr w:rsidR="00736178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Non Food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114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21,1</w:t>
            </w:r>
          </w:p>
        </w:tc>
      </w:tr>
      <w:tr w:rsidR="00736178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Fryserom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115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26,5</w:t>
            </w:r>
          </w:p>
        </w:tc>
      </w:tr>
      <w:tr w:rsidR="00736178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Tinerom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116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11,0</w:t>
            </w:r>
          </w:p>
        </w:tc>
      </w:tr>
      <w:tr w:rsidR="00736178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Kjøl kjøtt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117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17,2</w:t>
            </w:r>
          </w:p>
        </w:tc>
      </w:tr>
      <w:tr w:rsidR="00736178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Kjøl melk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118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17,2</w:t>
            </w:r>
          </w:p>
        </w:tc>
      </w:tr>
      <w:tr w:rsidR="00736178" w:rsidRPr="00DE4D8A" w:rsidTr="00222D10">
        <w:trPr>
          <w:trHeight w:val="252"/>
        </w:trPr>
        <w:tc>
          <w:tcPr>
            <w:tcW w:w="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Kjøl grønt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119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178" w:rsidRDefault="00736178" w:rsidP="00222D1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17,6</w:t>
            </w:r>
          </w:p>
        </w:tc>
      </w:tr>
    </w:tbl>
    <w:p w:rsidR="00DE4D8A" w:rsidRPr="009D7853" w:rsidRDefault="00DE4D8A" w:rsidP="009D7853">
      <w:pPr>
        <w:spacing w:after="0" w:line="240" w:lineRule="auto"/>
        <w:jc w:val="center"/>
        <w:rPr>
          <w:rFonts w:eastAsia="Cambria" w:cs="Times New Roman"/>
          <w:b/>
          <w:sz w:val="24"/>
          <w:szCs w:val="24"/>
          <w:lang w:eastAsia="en-US"/>
        </w:rPr>
      </w:pPr>
    </w:p>
    <w:p w:rsidR="009D7853" w:rsidRPr="009D7853" w:rsidRDefault="009D7853" w:rsidP="009D7853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903731" w:rsidRDefault="00903731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521C0D" w:rsidRDefault="00521C0D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521C0D">
        <w:rPr>
          <w:rFonts w:eastAsia="Cambria" w:cs="Times New Roman"/>
          <w:sz w:val="24"/>
          <w:szCs w:val="24"/>
          <w:lang w:eastAsia="en-US"/>
        </w:rPr>
        <w:t>Kommentarer til arealdisposisjon:</w:t>
      </w:r>
    </w:p>
    <w:p w:rsidR="0034075C" w:rsidRDefault="0034075C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34075C" w:rsidRDefault="0034075C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 xml:space="preserve">BRA  </w:t>
      </w:r>
      <w:r w:rsidR="00B873E8">
        <w:rPr>
          <w:rFonts w:eastAsia="Cambria" w:cs="Times New Roman"/>
          <w:sz w:val="24"/>
          <w:szCs w:val="24"/>
          <w:lang w:eastAsia="en-US"/>
        </w:rPr>
        <w:t>974</w:t>
      </w:r>
      <w:r>
        <w:rPr>
          <w:rFonts w:eastAsia="Cambria" w:cs="Times New Roman"/>
          <w:sz w:val="24"/>
          <w:szCs w:val="24"/>
          <w:lang w:eastAsia="en-US"/>
        </w:rPr>
        <w:t xml:space="preserve"> (1. etasje) + </w:t>
      </w:r>
      <w:r w:rsidR="00B873E8">
        <w:rPr>
          <w:rFonts w:eastAsia="Cambria" w:cs="Times New Roman"/>
          <w:sz w:val="24"/>
          <w:szCs w:val="24"/>
          <w:lang w:eastAsia="en-US"/>
        </w:rPr>
        <w:t>98</w:t>
      </w:r>
      <w:r>
        <w:rPr>
          <w:rFonts w:eastAsia="Cambria" w:cs="Times New Roman"/>
          <w:sz w:val="24"/>
          <w:szCs w:val="24"/>
          <w:lang w:eastAsia="en-US"/>
        </w:rPr>
        <w:t xml:space="preserve"> (underetasje) = </w:t>
      </w:r>
      <w:r>
        <w:rPr>
          <w:rFonts w:eastAsia="Cambria" w:cs="Times New Roman"/>
          <w:sz w:val="24"/>
          <w:szCs w:val="24"/>
          <w:lang w:eastAsia="en-US"/>
        </w:rPr>
        <w:tab/>
      </w:r>
      <w:r w:rsidR="00B873E8">
        <w:rPr>
          <w:rFonts w:eastAsia="Cambria" w:cs="Times New Roman"/>
          <w:sz w:val="24"/>
          <w:szCs w:val="24"/>
          <w:lang w:eastAsia="en-US"/>
        </w:rPr>
        <w:t>1072</w:t>
      </w:r>
      <w:r>
        <w:rPr>
          <w:rFonts w:eastAsia="Cambria" w:cs="Times New Roman"/>
          <w:sz w:val="24"/>
          <w:szCs w:val="24"/>
          <w:lang w:eastAsia="en-US"/>
        </w:rPr>
        <w:t xml:space="preserve"> m2</w:t>
      </w:r>
    </w:p>
    <w:p w:rsidR="00B873E8" w:rsidRDefault="0034075C" w:rsidP="00B873E8">
      <w:pPr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>BTA 103</w:t>
      </w:r>
      <w:r w:rsidR="00B873E8">
        <w:rPr>
          <w:rFonts w:eastAsia="Cambria" w:cs="Times New Roman"/>
          <w:sz w:val="24"/>
          <w:szCs w:val="24"/>
          <w:lang w:eastAsia="en-US"/>
        </w:rPr>
        <w:t>6</w:t>
      </w:r>
      <w:r>
        <w:rPr>
          <w:rFonts w:eastAsia="Cambria" w:cs="Times New Roman"/>
          <w:sz w:val="24"/>
          <w:szCs w:val="24"/>
          <w:lang w:eastAsia="en-US"/>
        </w:rPr>
        <w:t xml:space="preserve"> (1. etasje) + 17</w:t>
      </w:r>
      <w:r w:rsidR="00B873E8">
        <w:rPr>
          <w:rFonts w:eastAsia="Cambria" w:cs="Times New Roman"/>
          <w:sz w:val="24"/>
          <w:szCs w:val="24"/>
          <w:lang w:eastAsia="en-US"/>
        </w:rPr>
        <w:t>9</w:t>
      </w:r>
      <w:r>
        <w:rPr>
          <w:rFonts w:eastAsia="Cambria" w:cs="Times New Roman"/>
          <w:sz w:val="24"/>
          <w:szCs w:val="24"/>
          <w:lang w:eastAsia="en-US"/>
        </w:rPr>
        <w:t xml:space="preserve"> (underetasje)=</w:t>
      </w:r>
      <w:r>
        <w:rPr>
          <w:rFonts w:eastAsia="Cambria" w:cs="Times New Roman"/>
          <w:sz w:val="24"/>
          <w:szCs w:val="24"/>
          <w:lang w:eastAsia="en-US"/>
        </w:rPr>
        <w:tab/>
      </w:r>
      <w:r w:rsidRPr="00B873E8">
        <w:rPr>
          <w:rFonts w:eastAsia="Cambria" w:cs="Times New Roman"/>
          <w:sz w:val="24"/>
          <w:szCs w:val="24"/>
          <w:lang w:eastAsia="en-US"/>
        </w:rPr>
        <w:t>12</w:t>
      </w:r>
      <w:r w:rsidR="00B873E8" w:rsidRPr="00B873E8">
        <w:rPr>
          <w:rFonts w:eastAsia="Cambria" w:cs="Times New Roman"/>
          <w:sz w:val="24"/>
          <w:szCs w:val="24"/>
          <w:lang w:eastAsia="en-US"/>
        </w:rPr>
        <w:t>15</w:t>
      </w:r>
      <w:r w:rsidRPr="00B873E8">
        <w:rPr>
          <w:rFonts w:eastAsia="Cambria" w:cs="Times New Roman"/>
          <w:sz w:val="24"/>
          <w:szCs w:val="24"/>
          <w:lang w:eastAsia="en-US"/>
        </w:rPr>
        <w:t xml:space="preserve"> </w:t>
      </w:r>
      <w:r>
        <w:rPr>
          <w:rFonts w:eastAsia="Cambria" w:cs="Times New Roman"/>
          <w:sz w:val="24"/>
          <w:szCs w:val="24"/>
          <w:lang w:eastAsia="en-US"/>
        </w:rPr>
        <w:t>m2</w:t>
      </w:r>
    </w:p>
    <w:p w:rsidR="00AD0521" w:rsidRDefault="00AD0521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AD0521" w:rsidRPr="00AD0521" w:rsidRDefault="00AD0521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 xml:space="preserve">Bruttoarealet for bygget er økt fra 1000 m2 i opprinnelig plan til </w:t>
      </w:r>
      <w:r w:rsidR="00B873E8" w:rsidRPr="00B873E8">
        <w:rPr>
          <w:rFonts w:eastAsia="Cambria" w:cs="Times New Roman"/>
          <w:sz w:val="24"/>
          <w:szCs w:val="24"/>
          <w:lang w:eastAsia="en-US"/>
        </w:rPr>
        <w:t>1215</w:t>
      </w:r>
      <w:r w:rsidRPr="00B873E8">
        <w:rPr>
          <w:rFonts w:eastAsia="Cambria" w:cs="Times New Roman"/>
          <w:sz w:val="24"/>
          <w:szCs w:val="24"/>
          <w:lang w:eastAsia="en-US"/>
        </w:rPr>
        <w:t xml:space="preserve"> m2 </w:t>
      </w:r>
      <w:r>
        <w:rPr>
          <w:rFonts w:eastAsia="Cambria" w:cs="Times New Roman"/>
          <w:sz w:val="24"/>
          <w:szCs w:val="24"/>
          <w:lang w:eastAsia="en-US"/>
        </w:rPr>
        <w:t xml:space="preserve">i byggeprogram. Personalbasen er økt med </w:t>
      </w:r>
      <w:r w:rsidR="00EC692E">
        <w:rPr>
          <w:rFonts w:eastAsia="Cambria" w:cs="Times New Roman"/>
          <w:sz w:val="24"/>
          <w:szCs w:val="24"/>
          <w:lang w:eastAsia="en-US"/>
        </w:rPr>
        <w:t xml:space="preserve">10 m2, </w:t>
      </w:r>
      <w:r>
        <w:rPr>
          <w:rFonts w:eastAsia="Cambria" w:cs="Times New Roman"/>
          <w:sz w:val="24"/>
          <w:szCs w:val="24"/>
          <w:lang w:eastAsia="en-US"/>
        </w:rPr>
        <w:t>kjølelager</w:t>
      </w:r>
      <w:r w:rsidR="00B873E8">
        <w:rPr>
          <w:rFonts w:eastAsia="Cambria" w:cs="Times New Roman"/>
          <w:sz w:val="24"/>
          <w:szCs w:val="24"/>
          <w:lang w:eastAsia="en-US"/>
        </w:rPr>
        <w:t>/produksjonskjøkken har økt med rundt 2</w:t>
      </w:r>
      <w:r w:rsidR="00602579">
        <w:rPr>
          <w:rFonts w:eastAsia="Cambria" w:cs="Times New Roman"/>
          <w:sz w:val="24"/>
          <w:szCs w:val="24"/>
          <w:lang w:eastAsia="en-US"/>
        </w:rPr>
        <w:t>5</w:t>
      </w:r>
      <w:r w:rsidR="00B873E8">
        <w:rPr>
          <w:rFonts w:eastAsia="Cambria" w:cs="Times New Roman"/>
          <w:sz w:val="24"/>
          <w:szCs w:val="24"/>
          <w:lang w:eastAsia="en-US"/>
        </w:rPr>
        <w:t xml:space="preserve"> m2</w:t>
      </w:r>
      <w:r>
        <w:rPr>
          <w:rFonts w:eastAsia="Cambria" w:cs="Times New Roman"/>
          <w:sz w:val="24"/>
          <w:szCs w:val="24"/>
          <w:lang w:eastAsia="en-US"/>
        </w:rPr>
        <w:t>, bygget er tilpasset krav stilt av byantikvar og i reguleringsplan ift. verneverdig bebyggelse i Vatneleiren</w:t>
      </w:r>
      <w:r w:rsidR="00B873E8">
        <w:rPr>
          <w:rFonts w:eastAsia="Cambria" w:cs="Times New Roman"/>
          <w:sz w:val="24"/>
          <w:szCs w:val="24"/>
          <w:lang w:eastAsia="en-US"/>
        </w:rPr>
        <w:t xml:space="preserve"> og endring fra stålmoduler til betongelementer har medført ca. 30 m2 ekstra areal i hovedetasjen, men størstedelen av</w:t>
      </w:r>
      <w:r w:rsidR="00EC692E">
        <w:rPr>
          <w:rFonts w:eastAsia="Cambria" w:cs="Times New Roman"/>
          <w:sz w:val="24"/>
          <w:szCs w:val="24"/>
          <w:lang w:eastAsia="en-US"/>
        </w:rPr>
        <w:t xml:space="preserve"> arealutvidelsen</w:t>
      </w:r>
      <w:r w:rsidR="00B873E8">
        <w:rPr>
          <w:rFonts w:eastAsia="Cambria" w:cs="Times New Roman"/>
          <w:sz w:val="24"/>
          <w:szCs w:val="24"/>
          <w:lang w:eastAsia="en-US"/>
        </w:rPr>
        <w:t xml:space="preserve">, </w:t>
      </w:r>
      <w:r w:rsidR="00602579">
        <w:rPr>
          <w:rFonts w:eastAsia="Cambria" w:cs="Times New Roman"/>
          <w:sz w:val="24"/>
          <w:szCs w:val="24"/>
          <w:lang w:eastAsia="en-US"/>
        </w:rPr>
        <w:t>150</w:t>
      </w:r>
      <w:r w:rsidR="00B873E8">
        <w:rPr>
          <w:rFonts w:eastAsia="Cambria" w:cs="Times New Roman"/>
          <w:sz w:val="24"/>
          <w:szCs w:val="24"/>
          <w:lang w:eastAsia="en-US"/>
        </w:rPr>
        <w:t xml:space="preserve"> m2</w:t>
      </w:r>
      <w:r w:rsidR="00EC692E">
        <w:rPr>
          <w:rFonts w:eastAsia="Cambria" w:cs="Times New Roman"/>
          <w:sz w:val="24"/>
          <w:szCs w:val="24"/>
          <w:lang w:eastAsia="en-US"/>
        </w:rPr>
        <w:t xml:space="preserve"> skyldes </w:t>
      </w:r>
      <w:r w:rsidR="00602579">
        <w:rPr>
          <w:rFonts w:eastAsia="Cambria" w:cs="Times New Roman"/>
          <w:sz w:val="24"/>
          <w:szCs w:val="24"/>
          <w:lang w:eastAsia="en-US"/>
        </w:rPr>
        <w:t xml:space="preserve">økt </w:t>
      </w:r>
      <w:r w:rsidR="00EC692E">
        <w:rPr>
          <w:rFonts w:eastAsia="Cambria" w:cs="Times New Roman"/>
          <w:sz w:val="24"/>
          <w:szCs w:val="24"/>
          <w:lang w:eastAsia="en-US"/>
        </w:rPr>
        <w:t>behov for areal til tekniske instalasjoner som ventilasjon, hovedtavle, kuldemaskin og reservekraft som i romprogram er lagt til undertasje i bygget.</w:t>
      </w:r>
    </w:p>
    <w:p w:rsidR="00521C0D" w:rsidRPr="00521C0D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521C0D">
        <w:rPr>
          <w:rFonts w:eastAsiaTheme="majorEastAsia" w:cstheme="majorBidi"/>
          <w:b/>
          <w:sz w:val="24"/>
          <w:szCs w:val="24"/>
          <w:lang w:eastAsia="en-US"/>
        </w:rPr>
        <w:t>Tomteforhold</w:t>
      </w:r>
    </w:p>
    <w:p w:rsidR="006D0351" w:rsidRDefault="0066373C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66373C">
        <w:rPr>
          <w:rFonts w:eastAsia="Cambria" w:cs="Times New Roman"/>
          <w:sz w:val="24"/>
          <w:szCs w:val="24"/>
          <w:lang w:eastAsia="en-US"/>
        </w:rPr>
        <w:t xml:space="preserve">Tomt </w:t>
      </w:r>
      <w:r>
        <w:rPr>
          <w:rFonts w:eastAsia="Cambria" w:cs="Times New Roman"/>
          <w:sz w:val="24"/>
          <w:szCs w:val="24"/>
          <w:lang w:eastAsia="en-US"/>
        </w:rPr>
        <w:t xml:space="preserve">for bygging av nytt produksjonskjøkken ligger </w:t>
      </w:r>
      <w:r w:rsidRPr="0066373C">
        <w:rPr>
          <w:rFonts w:eastAsia="Cambria" w:cs="Times New Roman"/>
          <w:sz w:val="24"/>
          <w:szCs w:val="24"/>
          <w:lang w:eastAsia="en-US"/>
        </w:rPr>
        <w:t xml:space="preserve">innenfor området </w:t>
      </w:r>
      <w:r>
        <w:rPr>
          <w:rFonts w:eastAsia="Cambria" w:cs="Times New Roman"/>
          <w:sz w:val="24"/>
          <w:szCs w:val="24"/>
          <w:lang w:eastAsia="en-US"/>
        </w:rPr>
        <w:t xml:space="preserve">for Vatne Driftsstasjon, gnr. 37 bnr. </w:t>
      </w:r>
      <w:r w:rsidRPr="0066373C">
        <w:rPr>
          <w:rFonts w:eastAsia="Cambria" w:cs="Times New Roman"/>
          <w:sz w:val="24"/>
          <w:szCs w:val="24"/>
          <w:lang w:eastAsia="en-US"/>
        </w:rPr>
        <w:t>654</w:t>
      </w:r>
      <w:r>
        <w:rPr>
          <w:rFonts w:eastAsia="Cambria" w:cs="Times New Roman"/>
          <w:sz w:val="24"/>
          <w:szCs w:val="24"/>
          <w:lang w:eastAsia="en-US"/>
        </w:rPr>
        <w:t xml:space="preserve">. Tomten </w:t>
      </w:r>
      <w:r w:rsidRPr="0066373C">
        <w:rPr>
          <w:rFonts w:eastAsia="Cambria" w:cs="Times New Roman"/>
          <w:sz w:val="24"/>
          <w:szCs w:val="24"/>
          <w:lang w:eastAsia="en-US"/>
        </w:rPr>
        <w:t xml:space="preserve">omfattes av </w:t>
      </w:r>
      <w:r>
        <w:rPr>
          <w:rFonts w:eastAsia="Cambria" w:cs="Times New Roman"/>
          <w:sz w:val="24"/>
          <w:szCs w:val="24"/>
          <w:lang w:eastAsia="en-US"/>
        </w:rPr>
        <w:t>reguleringsplan</w:t>
      </w:r>
      <w:r w:rsidRPr="0066373C">
        <w:rPr>
          <w:rFonts w:eastAsia="Cambria" w:cs="Times New Roman"/>
          <w:sz w:val="24"/>
          <w:szCs w:val="24"/>
          <w:lang w:eastAsia="en-US"/>
        </w:rPr>
        <w:t xml:space="preserve"> 97107.</w:t>
      </w:r>
    </w:p>
    <w:p w:rsidR="0066373C" w:rsidRDefault="0066373C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521C0D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521C0D">
        <w:rPr>
          <w:rFonts w:eastAsiaTheme="majorEastAsia" w:cstheme="majorBidi"/>
          <w:b/>
          <w:sz w:val="24"/>
          <w:szCs w:val="24"/>
          <w:lang w:eastAsia="en-US"/>
        </w:rPr>
        <w:t>Byggekonsept</w:t>
      </w:r>
    </w:p>
    <w:p w:rsidR="00C3044A" w:rsidRPr="00172A65" w:rsidRDefault="00172A65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sz w:val="24"/>
          <w:szCs w:val="24"/>
          <w:lang w:eastAsia="en-US"/>
        </w:rPr>
      </w:pPr>
      <w:r>
        <w:rPr>
          <w:rFonts w:eastAsiaTheme="majorEastAsia" w:cstheme="majorBidi"/>
          <w:sz w:val="24"/>
          <w:szCs w:val="24"/>
          <w:lang w:eastAsia="en-US"/>
        </w:rPr>
        <w:t xml:space="preserve">Reguleringsplan for området stiller krav til byggets utforming i form av lengde og bredde krav, fasade og takkonstruksjon. Med så detaljerte krav stilt til selve </w:t>
      </w:r>
      <w:r w:rsidR="00602579">
        <w:rPr>
          <w:rFonts w:eastAsiaTheme="majorEastAsia" w:cstheme="majorBidi"/>
          <w:sz w:val="24"/>
          <w:szCs w:val="24"/>
          <w:lang w:eastAsia="en-US"/>
        </w:rPr>
        <w:t>byggutformingen</w:t>
      </w:r>
      <w:r>
        <w:rPr>
          <w:rFonts w:eastAsiaTheme="majorEastAsia" w:cstheme="majorBidi"/>
          <w:sz w:val="24"/>
          <w:szCs w:val="24"/>
          <w:lang w:eastAsia="en-US"/>
        </w:rPr>
        <w:t xml:space="preserve"> ser en det ikke som formålstjenlig å legge opp til modulbygg som byggekonsept. Bygget er plan</w:t>
      </w:r>
      <w:r w:rsidR="00EC692E">
        <w:rPr>
          <w:rFonts w:eastAsiaTheme="majorEastAsia" w:cstheme="majorBidi"/>
          <w:sz w:val="24"/>
          <w:szCs w:val="24"/>
          <w:lang w:eastAsia="en-US"/>
        </w:rPr>
        <w:t>lagt oppført i betongelementer som vil gi et nøkternt og godt bygg for formålet.</w:t>
      </w:r>
    </w:p>
    <w:p w:rsidR="00521C0D" w:rsidRPr="00521C0D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521C0D">
        <w:rPr>
          <w:rFonts w:eastAsiaTheme="majorEastAsia" w:cstheme="majorBidi"/>
          <w:b/>
          <w:sz w:val="24"/>
          <w:szCs w:val="24"/>
          <w:lang w:eastAsia="en-US"/>
        </w:rPr>
        <w:t>Energiklasse</w:t>
      </w:r>
    </w:p>
    <w:p w:rsidR="00521C0D" w:rsidRPr="00521C0D" w:rsidRDefault="006D0351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 xml:space="preserve">Bygget skal </w:t>
      </w:r>
      <w:r w:rsidR="00521C0D" w:rsidRPr="00521C0D">
        <w:rPr>
          <w:rFonts w:eastAsia="Cambria" w:cs="Times New Roman"/>
          <w:sz w:val="24"/>
          <w:szCs w:val="24"/>
          <w:lang w:eastAsia="en-US"/>
        </w:rPr>
        <w:t>tilfredsstille kravene i TEK 10.</w:t>
      </w:r>
    </w:p>
    <w:p w:rsidR="00521C0D" w:rsidRPr="00521C0D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521C0D">
        <w:rPr>
          <w:rFonts w:eastAsiaTheme="majorEastAsia" w:cstheme="majorBidi"/>
          <w:b/>
          <w:sz w:val="24"/>
          <w:szCs w:val="24"/>
          <w:lang w:eastAsia="en-US"/>
        </w:rPr>
        <w:t>Investeringskalkyle</w:t>
      </w:r>
    </w:p>
    <w:p w:rsidR="00C50316" w:rsidRPr="009D7853" w:rsidRDefault="00521C0D" w:rsidP="00C50316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 w:rsidRPr="00C50316">
        <w:rPr>
          <w:rFonts w:eastAsia="Cambria" w:cs="Times New Roman"/>
          <w:sz w:val="24"/>
          <w:szCs w:val="24"/>
          <w:lang w:eastAsia="en-US"/>
        </w:rPr>
        <w:t xml:space="preserve">Prosjektet ligger inne i økonomiplanen ØP 2015-2018, med </w:t>
      </w:r>
      <w:r w:rsidR="006D0351" w:rsidRPr="00C50316">
        <w:rPr>
          <w:rFonts w:eastAsia="Cambria" w:cs="Times New Roman"/>
          <w:sz w:val="24"/>
          <w:szCs w:val="24"/>
          <w:lang w:eastAsia="en-US"/>
        </w:rPr>
        <w:t>41</w:t>
      </w:r>
      <w:r w:rsidRPr="00C50316">
        <w:rPr>
          <w:rFonts w:eastAsia="Cambria" w:cs="Times New Roman"/>
          <w:sz w:val="24"/>
          <w:szCs w:val="24"/>
          <w:lang w:eastAsia="en-US"/>
        </w:rPr>
        <w:t xml:space="preserve"> mill. kroner. Grovkalkyle viser at en realisering av prosjektet, med nåværende omfang</w:t>
      </w:r>
      <w:r w:rsidR="00C50316" w:rsidRPr="00C50316">
        <w:rPr>
          <w:rFonts w:eastAsia="Cambria" w:cs="Times New Roman"/>
          <w:sz w:val="24"/>
          <w:szCs w:val="24"/>
          <w:lang w:eastAsia="en-US"/>
        </w:rPr>
        <w:t xml:space="preserve"> ikke vil kunne oppfylles uten økt prosjektbevilgning. </w:t>
      </w:r>
      <w:r w:rsidRPr="00521C0D">
        <w:rPr>
          <w:rFonts w:eastAsia="Cambria" w:cs="Times New Roman"/>
          <w:sz w:val="24"/>
          <w:szCs w:val="24"/>
          <w:lang w:eastAsia="en-US"/>
        </w:rPr>
        <w:t xml:space="preserve"> </w:t>
      </w:r>
      <w:r w:rsidR="00C50316">
        <w:rPr>
          <w:rFonts w:eastAsia="Cambria" w:cs="Times New Roman"/>
          <w:sz w:val="24"/>
          <w:szCs w:val="24"/>
          <w:lang w:eastAsia="en-US"/>
        </w:rPr>
        <w:t>Kalkyle lagt fram i K0 er beregnet til 46, 26 mill</w:t>
      </w:r>
      <w:r w:rsidR="00602579">
        <w:rPr>
          <w:rFonts w:eastAsia="Cambria" w:cs="Times New Roman"/>
          <w:sz w:val="24"/>
          <w:szCs w:val="24"/>
          <w:lang w:eastAsia="en-US"/>
        </w:rPr>
        <w:t>.</w:t>
      </w:r>
      <w:r w:rsidR="00C50316">
        <w:rPr>
          <w:rFonts w:eastAsia="Cambria" w:cs="Times New Roman"/>
          <w:sz w:val="24"/>
          <w:szCs w:val="24"/>
          <w:lang w:eastAsia="en-US"/>
        </w:rPr>
        <w:t xml:space="preserve"> kr.</w:t>
      </w:r>
    </w:p>
    <w:p w:rsidR="00C50316" w:rsidRPr="009D7853" w:rsidRDefault="00C50316" w:rsidP="00C50316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tbl>
      <w:tblPr>
        <w:tblW w:w="80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260"/>
      </w:tblGrid>
      <w:tr w:rsidR="00C50316" w:rsidRPr="00DE4D8A" w:rsidTr="00602579">
        <w:trPr>
          <w:trHeight w:val="255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E4D8A">
              <w:rPr>
                <w:rFonts w:eastAsia="Times New Roman" w:cs="Arial"/>
                <w:sz w:val="20"/>
                <w:szCs w:val="20"/>
              </w:rPr>
              <w:t>Kostnad Nybygg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E4D8A">
              <w:rPr>
                <w:rFonts w:eastAsia="Times New Roman" w:cs="Times New Roman"/>
                <w:sz w:val="20"/>
                <w:szCs w:val="20"/>
              </w:rPr>
              <w:t>1.00 Felleskostnad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903731">
              <w:rPr>
                <w:rFonts w:eastAsia="Times New Roman" w:cs="Arial"/>
                <w:sz w:val="20"/>
                <w:szCs w:val="20"/>
              </w:rPr>
              <w:t>Kr. 1 700 000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E4D8A">
              <w:rPr>
                <w:rFonts w:eastAsia="Times New Roman" w:cs="Times New Roman"/>
                <w:sz w:val="20"/>
                <w:szCs w:val="20"/>
              </w:rPr>
              <w:t xml:space="preserve">2.00 Bygging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kr   15 720 000</w:t>
            </w:r>
            <w:r w:rsidRPr="00DE4D8A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E4D8A">
              <w:rPr>
                <w:rFonts w:eastAsia="Times New Roman" w:cs="Times New Roman"/>
                <w:sz w:val="20"/>
                <w:szCs w:val="20"/>
              </w:rPr>
              <w:t>3.00 VVS- inst.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kr   </w:t>
            </w:r>
            <w:r w:rsidRPr="00DE4D8A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4 490 000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E4D8A">
              <w:rPr>
                <w:rFonts w:eastAsia="Times New Roman" w:cs="Times New Roman"/>
                <w:sz w:val="20"/>
                <w:szCs w:val="20"/>
              </w:rPr>
              <w:t>4.00 El. inst.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kr     2 150 000</w:t>
            </w:r>
            <w:r w:rsidRPr="00DE4D8A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E4D8A">
              <w:rPr>
                <w:rFonts w:eastAsia="Times New Roman" w:cs="Times New Roman"/>
                <w:sz w:val="20"/>
                <w:szCs w:val="20"/>
              </w:rPr>
              <w:t>5.00 Tele- og kont. int.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kr     250 000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E4D8A">
              <w:rPr>
                <w:rFonts w:eastAsia="Times New Roman" w:cs="Times New Roman"/>
                <w:sz w:val="20"/>
                <w:szCs w:val="20"/>
              </w:rPr>
              <w:t>6.00 Andre inst.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(kjøkkenleveranse)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kr     2 800 000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4D8A">
              <w:rPr>
                <w:rFonts w:eastAsia="Times New Roman" w:cs="Times New Roman"/>
                <w:b/>
                <w:bCs/>
                <w:sz w:val="20"/>
                <w:szCs w:val="20"/>
              </w:rPr>
              <w:t>SUM 1-6 HUSKOSTNAD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kr  27 110 000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E4D8A">
              <w:rPr>
                <w:rFonts w:eastAsia="Times New Roman" w:cs="Times New Roman"/>
                <w:sz w:val="20"/>
                <w:szCs w:val="20"/>
              </w:rPr>
              <w:t>7.00 Utendørsanlegg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kr     1 000 000</w:t>
            </w:r>
            <w:r w:rsidRPr="00DE4D8A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4D8A">
              <w:rPr>
                <w:rFonts w:eastAsia="Times New Roman" w:cs="Times New Roman"/>
                <w:b/>
                <w:bCs/>
                <w:sz w:val="20"/>
                <w:szCs w:val="20"/>
              </w:rPr>
              <w:t>SUM 1-7 ENTR. KOSTNAD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kr   28 110 000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E4D8A">
              <w:rPr>
                <w:rFonts w:eastAsia="Times New Roman" w:cs="Times New Roman"/>
                <w:sz w:val="20"/>
                <w:szCs w:val="20"/>
              </w:rPr>
              <w:t>8.00 Generelle kostnader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kr     4 200 000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4D8A">
              <w:rPr>
                <w:rFonts w:eastAsia="Times New Roman" w:cs="Times New Roman"/>
                <w:b/>
                <w:bCs/>
                <w:sz w:val="20"/>
                <w:szCs w:val="20"/>
              </w:rPr>
              <w:t>SUM 1-8 BYGGEKOSTNAD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kr   32 310 000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E4D8A">
              <w:rPr>
                <w:rFonts w:eastAsia="Times New Roman" w:cs="Times New Roman"/>
                <w:sz w:val="20"/>
                <w:szCs w:val="20"/>
              </w:rPr>
              <w:lastRenderedPageBreak/>
              <w:t>9.00 Spesielle kostnader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DE4D8A">
              <w:rPr>
                <w:rFonts w:eastAsia="Times New Roman" w:cs="Arial"/>
                <w:sz w:val="20"/>
                <w:szCs w:val="20"/>
              </w:rPr>
              <w:t xml:space="preserve"> kr   </w:t>
            </w:r>
            <w:r>
              <w:rPr>
                <w:rFonts w:eastAsia="Times New Roman" w:cs="Arial"/>
                <w:sz w:val="20"/>
                <w:szCs w:val="20"/>
              </w:rPr>
              <w:t>2 700 000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DE4D8A">
              <w:rPr>
                <w:rFonts w:eastAsia="Times New Roman" w:cs="Times New Roman"/>
                <w:sz w:val="20"/>
                <w:szCs w:val="20"/>
              </w:rPr>
              <w:t>Reserver og marginger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DE4D8A">
              <w:rPr>
                <w:rFonts w:eastAsia="Times New Roman" w:cs="Arial"/>
                <w:sz w:val="20"/>
                <w:szCs w:val="20"/>
              </w:rPr>
              <w:t xml:space="preserve"> kr   </w:t>
            </w:r>
            <w:r>
              <w:rPr>
                <w:rFonts w:eastAsia="Times New Roman" w:cs="Arial"/>
                <w:sz w:val="20"/>
                <w:szCs w:val="20"/>
              </w:rPr>
              <w:t>2 000 000</w:t>
            </w:r>
            <w:r w:rsidRPr="00DE4D8A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E4D8A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um</w:t>
            </w:r>
            <w:r w:rsidRPr="00DE4D8A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eks mva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50316" w:rsidRPr="00DE4D8A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kr 37 010 000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</w:tcPr>
          <w:p w:rsidR="00C50316" w:rsidRPr="00DE4D8A" w:rsidRDefault="00C50316" w:rsidP="006025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25% mva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50316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Kr 9 252 500</w:t>
            </w:r>
          </w:p>
        </w:tc>
      </w:tr>
      <w:tr w:rsidR="00C50316" w:rsidRPr="00DE4D8A" w:rsidTr="00602579">
        <w:trPr>
          <w:trHeight w:val="315"/>
        </w:trPr>
        <w:tc>
          <w:tcPr>
            <w:tcW w:w="4760" w:type="dxa"/>
            <w:shd w:val="clear" w:color="auto" w:fill="auto"/>
            <w:noWrap/>
            <w:vAlign w:val="center"/>
          </w:tcPr>
          <w:p w:rsidR="00C50316" w:rsidRDefault="00C50316" w:rsidP="0060257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Sum inkl. mva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C50316" w:rsidRDefault="00C50316" w:rsidP="009037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Kr. 46 262 500 </w:t>
            </w:r>
          </w:p>
        </w:tc>
      </w:tr>
    </w:tbl>
    <w:p w:rsidR="00521C0D" w:rsidRPr="00521C0D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521C0D">
        <w:rPr>
          <w:rFonts w:eastAsiaTheme="majorEastAsia" w:cstheme="majorBidi"/>
          <w:b/>
          <w:sz w:val="24"/>
          <w:szCs w:val="24"/>
          <w:lang w:eastAsia="en-US"/>
        </w:rPr>
        <w:t>Fremdrift</w:t>
      </w:r>
    </w:p>
    <w:p w:rsidR="006D0351" w:rsidRDefault="006D0351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C50316" w:rsidRDefault="00C50316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>Prosjektbestilling fra rådmannen l</w:t>
      </w:r>
      <w:r w:rsidR="00521C0D" w:rsidRPr="00521C0D">
        <w:rPr>
          <w:rFonts w:eastAsia="Cambria" w:cs="Times New Roman"/>
          <w:sz w:val="24"/>
          <w:szCs w:val="24"/>
          <w:lang w:eastAsia="en-US"/>
        </w:rPr>
        <w:t>egger til gr</w:t>
      </w:r>
      <w:r w:rsidR="008B143C">
        <w:rPr>
          <w:rFonts w:eastAsia="Cambria" w:cs="Times New Roman"/>
          <w:sz w:val="24"/>
          <w:szCs w:val="24"/>
          <w:lang w:eastAsia="en-US"/>
        </w:rPr>
        <w:t xml:space="preserve">unn ferdigstillelse av byggeriet til </w:t>
      </w:r>
      <w:r>
        <w:rPr>
          <w:rFonts w:eastAsia="Cambria" w:cs="Times New Roman"/>
          <w:sz w:val="24"/>
          <w:szCs w:val="24"/>
          <w:lang w:eastAsia="en-US"/>
        </w:rPr>
        <w:t>2018</w:t>
      </w:r>
      <w:r w:rsidR="008B143C">
        <w:rPr>
          <w:rFonts w:eastAsia="Cambria" w:cs="Times New Roman"/>
          <w:sz w:val="24"/>
          <w:szCs w:val="24"/>
          <w:lang w:eastAsia="en-US"/>
        </w:rPr>
        <w:t>. Prosjektbevilgningene i ØP2015-2018 er gitt i 2015 og 2016. Med bakgrunn i dette legges det opp til en framdrift som samsvarer med bevilgninger gitt i ØP2015-2018.</w:t>
      </w:r>
    </w:p>
    <w:p w:rsidR="0098531E" w:rsidRDefault="0098531E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531E" w:rsidTr="0098531E">
        <w:tc>
          <w:tcPr>
            <w:tcW w:w="4531" w:type="dxa"/>
          </w:tcPr>
          <w:p w:rsidR="0098531E" w:rsidRDefault="0098531E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Aktivitet</w:t>
            </w:r>
          </w:p>
        </w:tc>
        <w:tc>
          <w:tcPr>
            <w:tcW w:w="4531" w:type="dxa"/>
          </w:tcPr>
          <w:p w:rsidR="0098531E" w:rsidRDefault="002743F6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T</w:t>
            </w:r>
            <w:r w:rsidR="0098531E">
              <w:rPr>
                <w:rFonts w:eastAsia="Cambria" w:cs="Times New Roman"/>
                <w:sz w:val="24"/>
                <w:szCs w:val="24"/>
                <w:lang w:eastAsia="en-US"/>
              </w:rPr>
              <w:t>idspunkt</w:t>
            </w:r>
          </w:p>
        </w:tc>
      </w:tr>
      <w:tr w:rsidR="0098531E" w:rsidTr="0098531E">
        <w:tc>
          <w:tcPr>
            <w:tcW w:w="4531" w:type="dxa"/>
          </w:tcPr>
          <w:p w:rsidR="0098531E" w:rsidRDefault="0098531E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Anbudsutlysning</w:t>
            </w:r>
          </w:p>
        </w:tc>
        <w:tc>
          <w:tcPr>
            <w:tcW w:w="4531" w:type="dxa"/>
          </w:tcPr>
          <w:p w:rsidR="0098531E" w:rsidRDefault="0098531E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Oktober 2015</w:t>
            </w:r>
          </w:p>
        </w:tc>
      </w:tr>
      <w:tr w:rsidR="0098531E" w:rsidTr="0098531E">
        <w:tc>
          <w:tcPr>
            <w:tcW w:w="4531" w:type="dxa"/>
          </w:tcPr>
          <w:p w:rsidR="0098531E" w:rsidRDefault="0098531E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Anbudsfrist</w:t>
            </w:r>
            <w:r w:rsidR="002743F6">
              <w:rPr>
                <w:rFonts w:eastAsia="Cambria" w:cs="Times New Roman"/>
                <w:sz w:val="24"/>
                <w:szCs w:val="24"/>
                <w:lang w:eastAsia="en-US"/>
              </w:rPr>
              <w:t xml:space="preserve"> tekniske fag</w:t>
            </w:r>
          </w:p>
        </w:tc>
        <w:tc>
          <w:tcPr>
            <w:tcW w:w="4531" w:type="dxa"/>
          </w:tcPr>
          <w:p w:rsidR="0098531E" w:rsidRDefault="00B74CCB" w:rsidP="00B74CCB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Desember</w:t>
            </w:r>
            <w:r w:rsidR="002743F6">
              <w:rPr>
                <w:rFonts w:eastAsia="Cambria" w:cs="Times New Roman"/>
                <w:sz w:val="24"/>
                <w:szCs w:val="24"/>
                <w:lang w:eastAsia="en-US"/>
              </w:rPr>
              <w:t xml:space="preserve"> 2015</w:t>
            </w:r>
          </w:p>
        </w:tc>
      </w:tr>
      <w:tr w:rsidR="0098531E" w:rsidTr="0098531E">
        <w:tc>
          <w:tcPr>
            <w:tcW w:w="4531" w:type="dxa"/>
          </w:tcPr>
          <w:p w:rsidR="0098531E" w:rsidRDefault="002743F6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Anbudsfrist byningsfag</w:t>
            </w:r>
          </w:p>
        </w:tc>
        <w:tc>
          <w:tcPr>
            <w:tcW w:w="4531" w:type="dxa"/>
          </w:tcPr>
          <w:p w:rsidR="0098531E" w:rsidRDefault="002743F6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Desember 2015</w:t>
            </w:r>
          </w:p>
        </w:tc>
      </w:tr>
      <w:tr w:rsidR="0098531E" w:rsidTr="0098531E">
        <w:tc>
          <w:tcPr>
            <w:tcW w:w="4531" w:type="dxa"/>
          </w:tcPr>
          <w:p w:rsidR="0098531E" w:rsidRDefault="002743F6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Oppstart grunnarbeider</w:t>
            </w:r>
          </w:p>
        </w:tc>
        <w:tc>
          <w:tcPr>
            <w:tcW w:w="4531" w:type="dxa"/>
          </w:tcPr>
          <w:p w:rsidR="0098531E" w:rsidRDefault="00B74CCB" w:rsidP="00B74CCB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Januar</w:t>
            </w:r>
            <w:r w:rsidR="002743F6">
              <w:rPr>
                <w:rFonts w:eastAsia="Cambria" w:cs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eastAsia="Cambria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743F6" w:rsidTr="0098531E">
        <w:tc>
          <w:tcPr>
            <w:tcW w:w="4531" w:type="dxa"/>
          </w:tcPr>
          <w:p w:rsidR="002743F6" w:rsidRDefault="002743F6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Oppstart betongarbeider</w:t>
            </w:r>
          </w:p>
        </w:tc>
        <w:tc>
          <w:tcPr>
            <w:tcW w:w="4531" w:type="dxa"/>
          </w:tcPr>
          <w:p w:rsidR="002743F6" w:rsidRDefault="002743F6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Januar 2016</w:t>
            </w:r>
          </w:p>
        </w:tc>
      </w:tr>
      <w:tr w:rsidR="002743F6" w:rsidTr="0098531E">
        <w:tc>
          <w:tcPr>
            <w:tcW w:w="4531" w:type="dxa"/>
          </w:tcPr>
          <w:p w:rsidR="002743F6" w:rsidRDefault="002743F6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 xml:space="preserve">Ferdigstilling/innflytting </w:t>
            </w:r>
          </w:p>
        </w:tc>
        <w:tc>
          <w:tcPr>
            <w:tcW w:w="4531" w:type="dxa"/>
          </w:tcPr>
          <w:p w:rsidR="002743F6" w:rsidRDefault="002743F6" w:rsidP="00521C0D">
            <w:pPr>
              <w:rPr>
                <w:rFonts w:eastAsia="Cambria" w:cs="Times New Roman"/>
                <w:sz w:val="24"/>
                <w:szCs w:val="24"/>
                <w:lang w:eastAsia="en-US"/>
              </w:rPr>
            </w:pPr>
            <w:r>
              <w:rPr>
                <w:rFonts w:eastAsia="Cambria" w:cs="Times New Roman"/>
                <w:sz w:val="24"/>
                <w:szCs w:val="24"/>
                <w:lang w:eastAsia="en-US"/>
              </w:rPr>
              <w:t>November 2016</w:t>
            </w:r>
          </w:p>
        </w:tc>
      </w:tr>
    </w:tbl>
    <w:p w:rsidR="0098531E" w:rsidRPr="00521C0D" w:rsidRDefault="0098531E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</w:p>
    <w:p w:rsidR="00521C0D" w:rsidRPr="00521C0D" w:rsidRDefault="00521C0D" w:rsidP="00521C0D">
      <w:pPr>
        <w:keepNext/>
        <w:keepLines/>
        <w:spacing w:before="240" w:after="0" w:line="240" w:lineRule="auto"/>
        <w:outlineLvl w:val="0"/>
        <w:rPr>
          <w:rFonts w:eastAsiaTheme="majorEastAsia" w:cstheme="majorBidi"/>
          <w:b/>
          <w:sz w:val="24"/>
          <w:szCs w:val="24"/>
          <w:lang w:eastAsia="en-US"/>
        </w:rPr>
      </w:pPr>
      <w:r w:rsidRPr="00521C0D">
        <w:rPr>
          <w:rFonts w:eastAsiaTheme="majorEastAsia" w:cstheme="majorBidi"/>
          <w:b/>
          <w:sz w:val="24"/>
          <w:szCs w:val="24"/>
          <w:lang w:eastAsia="en-US"/>
        </w:rPr>
        <w:t>Valg av entrepriseform</w:t>
      </w:r>
    </w:p>
    <w:p w:rsidR="00521C0D" w:rsidRDefault="006F2AC1" w:rsidP="00521C0D">
      <w:pPr>
        <w:spacing w:after="0" w:line="240" w:lineRule="auto"/>
        <w:rPr>
          <w:rFonts w:eastAsia="Cambria" w:cs="Times New Roman"/>
          <w:sz w:val="24"/>
          <w:szCs w:val="24"/>
          <w:lang w:eastAsia="en-US"/>
        </w:rPr>
      </w:pPr>
      <w:r>
        <w:rPr>
          <w:rFonts w:eastAsia="Cambria" w:cs="Times New Roman"/>
          <w:sz w:val="24"/>
          <w:szCs w:val="24"/>
          <w:lang w:eastAsia="en-US"/>
        </w:rPr>
        <w:t xml:space="preserve">Prosjektet </w:t>
      </w:r>
      <w:r w:rsidR="002743F6">
        <w:rPr>
          <w:rFonts w:eastAsia="Cambria" w:cs="Times New Roman"/>
          <w:sz w:val="24"/>
          <w:szCs w:val="24"/>
          <w:lang w:eastAsia="en-US"/>
        </w:rPr>
        <w:t>skal ivareta Sandnes kommunes behov ift. dagens matproduksjon, innhold og volum, men skal samtidig inneholde fleksibilitet for å kunne ivareta morgendagens behov.</w:t>
      </w:r>
      <w:r w:rsidR="006936D3">
        <w:rPr>
          <w:rFonts w:eastAsia="Cambria" w:cs="Times New Roman"/>
          <w:sz w:val="24"/>
          <w:szCs w:val="24"/>
          <w:lang w:eastAsia="en-US"/>
        </w:rPr>
        <w:t xml:space="preserve"> Tett dialog med forvaltningsmyndigheter i Sandnes kommune ift. reguleringskrav knyttet til </w:t>
      </w:r>
      <w:r w:rsidR="00C60D78">
        <w:rPr>
          <w:rFonts w:eastAsia="Cambria" w:cs="Times New Roman"/>
          <w:sz w:val="24"/>
          <w:szCs w:val="24"/>
          <w:lang w:eastAsia="en-US"/>
        </w:rPr>
        <w:t>bygg utforming</w:t>
      </w:r>
      <w:r w:rsidR="006936D3">
        <w:rPr>
          <w:rFonts w:eastAsia="Cambria" w:cs="Times New Roman"/>
          <w:sz w:val="24"/>
          <w:szCs w:val="24"/>
          <w:lang w:eastAsia="en-US"/>
        </w:rPr>
        <w:t xml:space="preserve"> og kvalitet har vært essensielt. Med bakgrunn i dette </w:t>
      </w:r>
      <w:r>
        <w:rPr>
          <w:rFonts w:eastAsia="Cambria" w:cs="Times New Roman"/>
          <w:sz w:val="24"/>
          <w:szCs w:val="24"/>
          <w:lang w:eastAsia="en-US"/>
        </w:rPr>
        <w:t xml:space="preserve">ser </w:t>
      </w:r>
      <w:r w:rsidR="006936D3">
        <w:rPr>
          <w:rFonts w:eastAsia="Cambria" w:cs="Times New Roman"/>
          <w:sz w:val="24"/>
          <w:szCs w:val="24"/>
          <w:lang w:eastAsia="en-US"/>
        </w:rPr>
        <w:t xml:space="preserve">en </w:t>
      </w:r>
      <w:r>
        <w:rPr>
          <w:rFonts w:eastAsia="Cambria" w:cs="Times New Roman"/>
          <w:sz w:val="24"/>
          <w:szCs w:val="24"/>
          <w:lang w:eastAsia="en-US"/>
        </w:rPr>
        <w:t xml:space="preserve">behov for å </w:t>
      </w:r>
      <w:r w:rsidR="00521C0D" w:rsidRPr="00521C0D">
        <w:rPr>
          <w:rFonts w:eastAsia="Cambria" w:cs="Times New Roman"/>
          <w:sz w:val="24"/>
          <w:szCs w:val="24"/>
          <w:lang w:eastAsia="en-US"/>
        </w:rPr>
        <w:t xml:space="preserve">detaljprosjektere i </w:t>
      </w:r>
      <w:r w:rsidR="008B143C">
        <w:rPr>
          <w:rFonts w:eastAsia="Cambria" w:cs="Times New Roman"/>
          <w:sz w:val="24"/>
          <w:szCs w:val="24"/>
          <w:lang w:eastAsia="en-US"/>
        </w:rPr>
        <w:t>byggherre</w:t>
      </w:r>
      <w:r w:rsidR="006936D3">
        <w:rPr>
          <w:rFonts w:eastAsia="Cambria" w:cs="Times New Roman"/>
          <w:sz w:val="24"/>
          <w:szCs w:val="24"/>
          <w:lang w:eastAsia="en-US"/>
        </w:rPr>
        <w:t>regi og lyse</w:t>
      </w:r>
      <w:r w:rsidR="008B143C">
        <w:rPr>
          <w:rFonts w:eastAsia="Cambria" w:cs="Times New Roman"/>
          <w:sz w:val="24"/>
          <w:szCs w:val="24"/>
          <w:lang w:eastAsia="en-US"/>
        </w:rPr>
        <w:t>r</w:t>
      </w:r>
      <w:r w:rsidR="006936D3">
        <w:rPr>
          <w:rFonts w:eastAsia="Cambria" w:cs="Times New Roman"/>
          <w:sz w:val="24"/>
          <w:szCs w:val="24"/>
          <w:lang w:eastAsia="en-US"/>
        </w:rPr>
        <w:t xml:space="preserve"> ut prosjektet i åpen anbudskonkurranse i delte entrepriser.</w:t>
      </w:r>
      <w:r w:rsidR="008B143C">
        <w:rPr>
          <w:rFonts w:eastAsia="Cambria" w:cs="Times New Roman"/>
          <w:sz w:val="24"/>
          <w:szCs w:val="24"/>
          <w:lang w:eastAsia="en-US"/>
        </w:rPr>
        <w:t xml:space="preserve"> Det henvises til vedtak i styresak 114/15.</w:t>
      </w:r>
    </w:p>
    <w:p w:rsidR="007B45BE" w:rsidRDefault="007B45BE" w:rsidP="00B30221">
      <w:pPr>
        <w:rPr>
          <w:b/>
          <w:sz w:val="28"/>
          <w:szCs w:val="28"/>
          <w:u w:val="single"/>
        </w:rPr>
      </w:pPr>
    </w:p>
    <w:p w:rsidR="00720FD8" w:rsidRDefault="00720FD8" w:rsidP="00B30221">
      <w:pPr>
        <w:rPr>
          <w:b/>
          <w:sz w:val="28"/>
          <w:szCs w:val="28"/>
          <w:u w:val="single"/>
        </w:rPr>
      </w:pPr>
      <w:r w:rsidRPr="00521C0D">
        <w:rPr>
          <w:b/>
          <w:sz w:val="28"/>
          <w:szCs w:val="28"/>
          <w:u w:val="single"/>
        </w:rPr>
        <w:t>Vurderinger:</w:t>
      </w:r>
    </w:p>
    <w:p w:rsidR="008B143C" w:rsidRDefault="006936D3" w:rsidP="00B30221">
      <w:r>
        <w:t>I grovkalkyler som ligger til grunn for bevilgning i ØP2015-2018 ha</w:t>
      </w:r>
      <w:r w:rsidR="008B143C">
        <w:t>r en forutsatt et nøkternt industribygg. Kvalitetskrav stilt til fasade</w:t>
      </w:r>
      <w:r w:rsidR="004F49B9">
        <w:t xml:space="preserve">, </w:t>
      </w:r>
      <w:r w:rsidR="008B143C">
        <w:t>tak</w:t>
      </w:r>
      <w:r w:rsidR="004F49B9">
        <w:t xml:space="preserve"> og </w:t>
      </w:r>
      <w:r w:rsidR="00C60D78">
        <w:t>bygg utforming</w:t>
      </w:r>
      <w:r w:rsidR="004F49B9">
        <w:t xml:space="preserve"> av byantikvar og krav stilt i reguleringsplan,</w:t>
      </w:r>
      <w:r w:rsidR="008B143C">
        <w:t xml:space="preserve"> kommer som merkostnader ift. opprinnelig kalkyle.</w:t>
      </w:r>
    </w:p>
    <w:p w:rsidR="006936D3" w:rsidRDefault="006936D3" w:rsidP="00B30221">
      <w:r>
        <w:t>Det er lagt inn reservekraft for produksjonskjøkkenet i kalkylen. Dette kan trekkes ut</w:t>
      </w:r>
      <w:r w:rsidR="008B143C">
        <w:t xml:space="preserve"> i sin helhet og gi en </w:t>
      </w:r>
      <w:r>
        <w:t xml:space="preserve">besparelse på 300 000 </w:t>
      </w:r>
      <w:r w:rsidR="008B143C">
        <w:t>kr eks. mva</w:t>
      </w:r>
      <w:r w:rsidR="004F49B9">
        <w:t>.</w:t>
      </w:r>
      <w:r w:rsidR="008B143C">
        <w:t xml:space="preserve"> for reservekraftsagregat og 300 000 kr eks. mva</w:t>
      </w:r>
      <w:r w:rsidR="004F49B9">
        <w:t>.</w:t>
      </w:r>
      <w:r w:rsidR="008B143C">
        <w:t xml:space="preserve"> for bygging av reservekraftrom i underetasjen. </w:t>
      </w:r>
      <w:r>
        <w:t xml:space="preserve"> </w:t>
      </w:r>
      <w:r w:rsidR="004F49B9">
        <w:t xml:space="preserve">Sandnes eiendomsselskap KF </w:t>
      </w:r>
      <w:r>
        <w:t xml:space="preserve">foreslås at </w:t>
      </w:r>
      <w:r w:rsidR="004F49B9">
        <w:t>rom for reservekraft legges inn i konkurransegrunnlag</w:t>
      </w:r>
      <w:r>
        <w:t xml:space="preserve"> men</w:t>
      </w:r>
      <w:r w:rsidR="004F49B9">
        <w:t>s</w:t>
      </w:r>
      <w:r>
        <w:t xml:space="preserve"> reservekraft </w:t>
      </w:r>
      <w:r w:rsidR="004F49B9">
        <w:t xml:space="preserve">legges inn </w:t>
      </w:r>
      <w:r>
        <w:t>som opsjon</w:t>
      </w:r>
      <w:r w:rsidR="004F49B9">
        <w:t xml:space="preserve">. En har da </w:t>
      </w:r>
      <w:r>
        <w:t>mulig</w:t>
      </w:r>
      <w:r w:rsidR="004F49B9">
        <w:t>het til etter anbudskonkurranse å vurdere om en legger inn reservekraft nå eller ha mulighet til å et</w:t>
      </w:r>
      <w:r>
        <w:t xml:space="preserve">ablere </w:t>
      </w:r>
      <w:r w:rsidR="00B74CCB">
        <w:t>dette på et senere tidspunkt.</w:t>
      </w:r>
    </w:p>
    <w:p w:rsidR="00B74CCB" w:rsidRDefault="004F49B9" w:rsidP="004F49B9">
      <w:r>
        <w:t xml:space="preserve">Inventar lå ikke inne i opprinnelig kalkyle. Dette må legges inn for å kunne starte produksjon i lokalene. Pris på produksjonskjøkkeninventar er innhentet fra rammeavtaleleverandør og er et funksjonelt for dagnes produksjonsvolum, men er også tilrettelagt for økt produksjon i årene framover. </w:t>
      </w:r>
    </w:p>
    <w:p w:rsidR="00B873E8" w:rsidRDefault="00B873E8" w:rsidP="004F49B9">
      <w:r>
        <w:lastRenderedPageBreak/>
        <w:t>Nytt produksjonskjøkken på Vatne vil gi et godt og funksjonelt produksjonskjøkken som kan betjene dagens matleveransebehov og også ha kapasitet til å øke produksjonene i tråd med Sandnes kommunes matleveransebehov i årene framover.</w:t>
      </w:r>
    </w:p>
    <w:p w:rsidR="00B873E8" w:rsidRPr="00C60D78" w:rsidRDefault="00C60D78" w:rsidP="004F49B9">
      <w:r w:rsidRPr="00C60D78">
        <w:t>Ved å flytte produksjonskjøkkenet fra Åse boas fristilles lokaler der. Selv om en flytter produksjonskjøkkenet vil en ha behov for et oppvarmingskjøkken i Åse boas, men det vil allikevel fristilles areal til ombygging til annet formål, sengeplasser.  Det er i ØP2015-2018 bevilget midler i eget prosjekt til gjennomføring av disse ombyggingsarbeidene som etter planen igangsettes umiddelbart etter flytting av produksjonskjøkken til Vatne.</w:t>
      </w:r>
    </w:p>
    <w:p w:rsidR="00903731" w:rsidRDefault="00903731" w:rsidP="005A4DBB">
      <w:pPr>
        <w:rPr>
          <w:b/>
          <w:sz w:val="28"/>
          <w:szCs w:val="28"/>
          <w:u w:val="single"/>
        </w:rPr>
      </w:pPr>
    </w:p>
    <w:p w:rsidR="00903731" w:rsidRDefault="00903731" w:rsidP="005A4DBB">
      <w:pPr>
        <w:rPr>
          <w:b/>
          <w:sz w:val="28"/>
          <w:szCs w:val="28"/>
          <w:u w:val="single"/>
        </w:rPr>
      </w:pPr>
    </w:p>
    <w:p w:rsidR="00903731" w:rsidRDefault="00903731" w:rsidP="005A4DBB">
      <w:pPr>
        <w:rPr>
          <w:b/>
          <w:sz w:val="28"/>
          <w:szCs w:val="28"/>
          <w:u w:val="single"/>
        </w:rPr>
      </w:pPr>
    </w:p>
    <w:p w:rsidR="0068300B" w:rsidRPr="00521C0D" w:rsidRDefault="000835D0" w:rsidP="005A4DBB">
      <w:pPr>
        <w:rPr>
          <w:b/>
          <w:sz w:val="28"/>
          <w:szCs w:val="28"/>
        </w:rPr>
      </w:pPr>
      <w:r w:rsidRPr="00521C0D">
        <w:rPr>
          <w:b/>
          <w:sz w:val="28"/>
          <w:szCs w:val="28"/>
          <w:u w:val="single"/>
        </w:rPr>
        <w:t>Forslag til vedtak</w:t>
      </w:r>
      <w:r w:rsidRPr="00521C0D">
        <w:rPr>
          <w:b/>
          <w:sz w:val="28"/>
          <w:szCs w:val="28"/>
        </w:rPr>
        <w:t>:</w:t>
      </w:r>
    </w:p>
    <w:p w:rsidR="00734547" w:rsidRDefault="00734547" w:rsidP="00734547">
      <w:pPr>
        <w:pStyle w:val="Listeavsnitt"/>
        <w:rPr>
          <w:rFonts w:cs="Times New Roman"/>
          <w:color w:val="FF0000"/>
          <w:sz w:val="24"/>
          <w:szCs w:val="24"/>
        </w:rPr>
      </w:pPr>
    </w:p>
    <w:p w:rsidR="00734547" w:rsidRPr="00584572" w:rsidRDefault="00734547" w:rsidP="00584572">
      <w:pPr>
        <w:pStyle w:val="Listeavsnitt"/>
        <w:numPr>
          <w:ilvl w:val="0"/>
          <w:numId w:val="9"/>
        </w:numPr>
        <w:rPr>
          <w:rFonts w:cs="Times New Roman"/>
          <w:strike/>
          <w:sz w:val="24"/>
          <w:szCs w:val="24"/>
        </w:rPr>
      </w:pPr>
      <w:r w:rsidRPr="00584572">
        <w:rPr>
          <w:rFonts w:cs="Times New Roman"/>
          <w:sz w:val="24"/>
          <w:szCs w:val="24"/>
        </w:rPr>
        <w:t xml:space="preserve">Prosjektet bearbeides videre innenfor bevilget ramme på 41 mill kr. Saken fremmes på nytt for styret når dette er gjort. </w:t>
      </w:r>
    </w:p>
    <w:p w:rsidR="006908BF" w:rsidRPr="00384ED1" w:rsidRDefault="006908BF" w:rsidP="005A4DBB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6908BF" w:rsidRPr="00AC0E37" w:rsidRDefault="00156569" w:rsidP="005A4DBB">
      <w:pPr>
        <w:rPr>
          <w:rFonts w:cs="Times New Roman"/>
          <w:sz w:val="24"/>
          <w:szCs w:val="24"/>
        </w:rPr>
      </w:pPr>
      <w:r w:rsidRPr="00AC0E37">
        <w:rPr>
          <w:rFonts w:cs="Times New Roman"/>
          <w:sz w:val="24"/>
          <w:szCs w:val="24"/>
        </w:rPr>
        <w:t xml:space="preserve">Sandnes Eiendomsselskap KF, </w:t>
      </w:r>
      <w:r w:rsidR="00B74CCB">
        <w:rPr>
          <w:rFonts w:cs="Times New Roman"/>
          <w:sz w:val="24"/>
          <w:szCs w:val="24"/>
        </w:rPr>
        <w:t>1</w:t>
      </w:r>
      <w:r w:rsidR="00903731">
        <w:rPr>
          <w:rFonts w:cs="Times New Roman"/>
          <w:sz w:val="24"/>
          <w:szCs w:val="24"/>
        </w:rPr>
        <w:t>8</w:t>
      </w:r>
      <w:r w:rsidR="006D0351">
        <w:rPr>
          <w:rFonts w:cs="Times New Roman"/>
          <w:sz w:val="24"/>
          <w:szCs w:val="24"/>
        </w:rPr>
        <w:t>. august</w:t>
      </w:r>
      <w:r w:rsidR="00AC0E37" w:rsidRPr="00AC0E37">
        <w:rPr>
          <w:rFonts w:cs="Times New Roman"/>
          <w:sz w:val="24"/>
          <w:szCs w:val="24"/>
        </w:rPr>
        <w:t xml:space="preserve"> 2015</w:t>
      </w:r>
    </w:p>
    <w:p w:rsidR="00487D79" w:rsidRPr="00384ED1" w:rsidRDefault="00487D79" w:rsidP="005A4DBB">
      <w:pPr>
        <w:rPr>
          <w:rFonts w:cs="Times New Roman"/>
          <w:sz w:val="24"/>
          <w:szCs w:val="24"/>
        </w:rPr>
      </w:pPr>
    </w:p>
    <w:p w:rsidR="00156569" w:rsidRPr="00384ED1" w:rsidRDefault="00156569" w:rsidP="005A4DBB">
      <w:pPr>
        <w:rPr>
          <w:rFonts w:cs="Times New Roman"/>
          <w:sz w:val="24"/>
          <w:szCs w:val="24"/>
        </w:rPr>
      </w:pPr>
      <w:r w:rsidRPr="00384ED1">
        <w:rPr>
          <w:rFonts w:cs="Times New Roman"/>
          <w:sz w:val="24"/>
          <w:szCs w:val="24"/>
        </w:rPr>
        <w:t>Torbjørn Sterri</w:t>
      </w:r>
    </w:p>
    <w:p w:rsidR="00097712" w:rsidRDefault="00C60D78" w:rsidP="005A4DBB">
      <w:pPr>
        <w:rPr>
          <w:rFonts w:cs="Times New Roman"/>
          <w:sz w:val="24"/>
          <w:szCs w:val="24"/>
        </w:rPr>
      </w:pPr>
      <w:r w:rsidRPr="00384ED1">
        <w:rPr>
          <w:rFonts w:cs="Times New Roman"/>
          <w:sz w:val="24"/>
          <w:szCs w:val="24"/>
        </w:rPr>
        <w:t>Daglig</w:t>
      </w:r>
      <w:r w:rsidR="00156569" w:rsidRPr="00384ED1">
        <w:rPr>
          <w:rFonts w:cs="Times New Roman"/>
          <w:sz w:val="24"/>
          <w:szCs w:val="24"/>
        </w:rPr>
        <w:t xml:space="preserve"> leder</w:t>
      </w:r>
      <w:r w:rsidR="00B74CCB">
        <w:rPr>
          <w:rFonts w:cs="Times New Roman"/>
          <w:sz w:val="24"/>
          <w:szCs w:val="24"/>
        </w:rPr>
        <w:t xml:space="preserve"> Sandnes Eiendomsselskap KF </w:t>
      </w:r>
    </w:p>
    <w:p w:rsidR="008517A2" w:rsidRDefault="008517A2" w:rsidP="005A4DBB">
      <w:pPr>
        <w:rPr>
          <w:rFonts w:cs="Times New Roman"/>
          <w:sz w:val="24"/>
          <w:szCs w:val="24"/>
        </w:rPr>
      </w:pPr>
    </w:p>
    <w:p w:rsidR="004D1104" w:rsidRDefault="008517A2" w:rsidP="005A4DBB">
      <w:pPr>
        <w:rPr>
          <w:rFonts w:cs="Times New Roman"/>
          <w:b/>
          <w:sz w:val="24"/>
          <w:szCs w:val="24"/>
          <w:u w:val="single"/>
        </w:rPr>
      </w:pPr>
      <w:r w:rsidRPr="004D1104">
        <w:rPr>
          <w:rFonts w:cs="Times New Roman"/>
          <w:b/>
          <w:sz w:val="24"/>
          <w:szCs w:val="24"/>
          <w:u w:val="single"/>
        </w:rPr>
        <w:t xml:space="preserve">Vedlegg: </w:t>
      </w:r>
    </w:p>
    <w:p w:rsidR="004D1104" w:rsidRDefault="004D1104" w:rsidP="005A4DB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Vedlegg 1; </w:t>
      </w:r>
      <w:r w:rsidR="008517A2">
        <w:rPr>
          <w:rFonts w:cs="Times New Roman"/>
          <w:sz w:val="24"/>
          <w:szCs w:val="24"/>
        </w:rPr>
        <w:t>plantegning</w:t>
      </w:r>
    </w:p>
    <w:p w:rsidR="004D1104" w:rsidRDefault="004D1104" w:rsidP="004D11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Vedlegg 2: </w:t>
      </w:r>
      <w:r w:rsidR="00B74CCB">
        <w:rPr>
          <w:rFonts w:cs="Times New Roman"/>
          <w:sz w:val="24"/>
          <w:szCs w:val="24"/>
        </w:rPr>
        <w:t>fasadetegning</w:t>
      </w:r>
    </w:p>
    <w:p w:rsidR="008517A2" w:rsidRPr="008517A2" w:rsidRDefault="004D1104" w:rsidP="004D11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Vedlegg 3; </w:t>
      </w:r>
      <w:r w:rsidR="006D0351">
        <w:rPr>
          <w:rFonts w:cs="Times New Roman"/>
          <w:sz w:val="24"/>
          <w:szCs w:val="24"/>
        </w:rPr>
        <w:t>situasjonsplan</w:t>
      </w:r>
      <w:r w:rsidR="008517A2">
        <w:rPr>
          <w:rFonts w:cs="Times New Roman"/>
          <w:sz w:val="24"/>
          <w:szCs w:val="24"/>
        </w:rPr>
        <w:t xml:space="preserve"> </w:t>
      </w:r>
    </w:p>
    <w:sectPr w:rsidR="008517A2" w:rsidRPr="008517A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79" w:rsidRDefault="00602579" w:rsidP="00B30221">
      <w:pPr>
        <w:spacing w:after="0" w:line="240" w:lineRule="auto"/>
      </w:pPr>
      <w:r>
        <w:separator/>
      </w:r>
    </w:p>
  </w:endnote>
  <w:endnote w:type="continuationSeparator" w:id="0">
    <w:p w:rsidR="00602579" w:rsidRDefault="0060257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79" w:rsidRDefault="00602579" w:rsidP="00B30221">
      <w:pPr>
        <w:spacing w:after="0" w:line="240" w:lineRule="auto"/>
      </w:pPr>
      <w:r>
        <w:separator/>
      </w:r>
    </w:p>
  </w:footnote>
  <w:footnote w:type="continuationSeparator" w:id="0">
    <w:p w:rsidR="00602579" w:rsidRDefault="0060257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4699E"/>
    <w:multiLevelType w:val="hybridMultilevel"/>
    <w:tmpl w:val="26B2CC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0FF3"/>
    <w:multiLevelType w:val="hybridMultilevel"/>
    <w:tmpl w:val="98F0AC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77D14"/>
    <w:multiLevelType w:val="hybridMultilevel"/>
    <w:tmpl w:val="BC1ABBB4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20B72"/>
    <w:multiLevelType w:val="hybridMultilevel"/>
    <w:tmpl w:val="5B60E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67ECC"/>
    <w:multiLevelType w:val="hybridMultilevel"/>
    <w:tmpl w:val="B6D816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0750A"/>
    <w:multiLevelType w:val="hybridMultilevel"/>
    <w:tmpl w:val="2564ECD6"/>
    <w:lvl w:ilvl="0" w:tplc="ADDC86FE">
      <w:start w:val="2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75EBA"/>
    <w:rsid w:val="000835D0"/>
    <w:rsid w:val="00097712"/>
    <w:rsid w:val="000A309D"/>
    <w:rsid w:val="000B30FA"/>
    <w:rsid w:val="000E0680"/>
    <w:rsid w:val="000F38EF"/>
    <w:rsid w:val="001269B0"/>
    <w:rsid w:val="00135883"/>
    <w:rsid w:val="00150778"/>
    <w:rsid w:val="00152906"/>
    <w:rsid w:val="001560DA"/>
    <w:rsid w:val="00156569"/>
    <w:rsid w:val="00172A65"/>
    <w:rsid w:val="001801FF"/>
    <w:rsid w:val="00186178"/>
    <w:rsid w:val="001870CE"/>
    <w:rsid w:val="00190A2F"/>
    <w:rsid w:val="00196F0B"/>
    <w:rsid w:val="001E2546"/>
    <w:rsid w:val="00206A8B"/>
    <w:rsid w:val="00222D10"/>
    <w:rsid w:val="00263933"/>
    <w:rsid w:val="00265A6A"/>
    <w:rsid w:val="002743F6"/>
    <w:rsid w:val="002B0773"/>
    <w:rsid w:val="002B361E"/>
    <w:rsid w:val="0030658D"/>
    <w:rsid w:val="0034075C"/>
    <w:rsid w:val="00384ED1"/>
    <w:rsid w:val="00397B84"/>
    <w:rsid w:val="003B2054"/>
    <w:rsid w:val="003E1121"/>
    <w:rsid w:val="00487D79"/>
    <w:rsid w:val="0049404B"/>
    <w:rsid w:val="004C093A"/>
    <w:rsid w:val="004D1104"/>
    <w:rsid w:val="004E0F9A"/>
    <w:rsid w:val="004F49B9"/>
    <w:rsid w:val="00521C0D"/>
    <w:rsid w:val="00584572"/>
    <w:rsid w:val="005A4DBB"/>
    <w:rsid w:val="005C2181"/>
    <w:rsid w:val="00602579"/>
    <w:rsid w:val="00627625"/>
    <w:rsid w:val="006551CD"/>
    <w:rsid w:val="0066373C"/>
    <w:rsid w:val="0068300B"/>
    <w:rsid w:val="0068426D"/>
    <w:rsid w:val="006842E6"/>
    <w:rsid w:val="006908BF"/>
    <w:rsid w:val="006936D3"/>
    <w:rsid w:val="006A13D6"/>
    <w:rsid w:val="006B3409"/>
    <w:rsid w:val="006D0351"/>
    <w:rsid w:val="006E5B6A"/>
    <w:rsid w:val="006F078A"/>
    <w:rsid w:val="006F2AC1"/>
    <w:rsid w:val="006F671A"/>
    <w:rsid w:val="00720FD8"/>
    <w:rsid w:val="00727BEA"/>
    <w:rsid w:val="00734547"/>
    <w:rsid w:val="00736178"/>
    <w:rsid w:val="00740CC7"/>
    <w:rsid w:val="00754DB9"/>
    <w:rsid w:val="00781B98"/>
    <w:rsid w:val="00792EEF"/>
    <w:rsid w:val="00793252"/>
    <w:rsid w:val="007A460D"/>
    <w:rsid w:val="007B459C"/>
    <w:rsid w:val="007B45BE"/>
    <w:rsid w:val="007E2845"/>
    <w:rsid w:val="00847DA3"/>
    <w:rsid w:val="008517A2"/>
    <w:rsid w:val="008668CB"/>
    <w:rsid w:val="00876899"/>
    <w:rsid w:val="008B143C"/>
    <w:rsid w:val="008C1A3D"/>
    <w:rsid w:val="00903731"/>
    <w:rsid w:val="009043C9"/>
    <w:rsid w:val="0091686D"/>
    <w:rsid w:val="00924E79"/>
    <w:rsid w:val="009435FB"/>
    <w:rsid w:val="00943A83"/>
    <w:rsid w:val="009679B0"/>
    <w:rsid w:val="0098531E"/>
    <w:rsid w:val="009873D1"/>
    <w:rsid w:val="009C5624"/>
    <w:rsid w:val="009D7853"/>
    <w:rsid w:val="00A7109E"/>
    <w:rsid w:val="00AA60A7"/>
    <w:rsid w:val="00AA7F48"/>
    <w:rsid w:val="00AC0E37"/>
    <w:rsid w:val="00AD0521"/>
    <w:rsid w:val="00AD3D7A"/>
    <w:rsid w:val="00B107B7"/>
    <w:rsid w:val="00B1441E"/>
    <w:rsid w:val="00B14B3C"/>
    <w:rsid w:val="00B30221"/>
    <w:rsid w:val="00B30CC1"/>
    <w:rsid w:val="00B52A16"/>
    <w:rsid w:val="00B67FF5"/>
    <w:rsid w:val="00B74CCB"/>
    <w:rsid w:val="00B7732D"/>
    <w:rsid w:val="00B873E8"/>
    <w:rsid w:val="00BB1A4C"/>
    <w:rsid w:val="00BB5C20"/>
    <w:rsid w:val="00BC664E"/>
    <w:rsid w:val="00C27D11"/>
    <w:rsid w:val="00C3044A"/>
    <w:rsid w:val="00C470A3"/>
    <w:rsid w:val="00C50316"/>
    <w:rsid w:val="00C53EF2"/>
    <w:rsid w:val="00C60D78"/>
    <w:rsid w:val="00CC5B49"/>
    <w:rsid w:val="00CF4C50"/>
    <w:rsid w:val="00DA5991"/>
    <w:rsid w:val="00DE4D8A"/>
    <w:rsid w:val="00DE58E6"/>
    <w:rsid w:val="00E336D5"/>
    <w:rsid w:val="00E35F1D"/>
    <w:rsid w:val="00E4078F"/>
    <w:rsid w:val="00E51D94"/>
    <w:rsid w:val="00E54736"/>
    <w:rsid w:val="00E62959"/>
    <w:rsid w:val="00EC692E"/>
    <w:rsid w:val="00F0615B"/>
    <w:rsid w:val="00F228E5"/>
    <w:rsid w:val="00F52164"/>
    <w:rsid w:val="00F65156"/>
    <w:rsid w:val="00F96F22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82D0E-EAA3-44AD-B2DE-688D19FA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8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table" w:customStyle="1" w:styleId="Tabellrutenett1">
    <w:name w:val="Tabellrutenett1"/>
    <w:basedOn w:val="Vanligtabell"/>
    <w:next w:val="Tabellrutenett"/>
    <w:uiPriority w:val="59"/>
    <w:rsid w:val="00384ED1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87689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F8CA-19A1-4D9D-9E3B-EFB0E15E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8881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2015-08-18T08:18:00Z</cp:lastPrinted>
  <dcterms:created xsi:type="dcterms:W3CDTF">2015-08-21T10:40:00Z</dcterms:created>
  <dcterms:modified xsi:type="dcterms:W3CDTF">2015-08-21T10:40:00Z</dcterms:modified>
</cp:coreProperties>
</file>